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540B4">
      <w:pPr>
        <w:tabs>
          <w:tab w:val="left" w:pos="7655"/>
        </w:tabs>
        <w:ind w:right="-1291" w:rightChars="-615"/>
        <w:jc w:val="center"/>
        <w:rPr>
          <w:b/>
          <w:bCs/>
          <w:sz w:val="48"/>
          <w:szCs w:val="48"/>
          <w:highlight w:val="none"/>
        </w:rPr>
      </w:pPr>
      <w:r>
        <w:rPr>
          <w:rFonts w:hint="eastAsia"/>
          <w:b/>
          <w:bCs/>
          <w:sz w:val="48"/>
          <w:szCs w:val="48"/>
          <w:highlight w:val="none"/>
        </w:rPr>
        <w:tab/>
      </w:r>
    </w:p>
    <w:p w14:paraId="7307E6AE">
      <w:pPr>
        <w:jc w:val="center"/>
        <w:rPr>
          <w:b/>
          <w:bCs/>
          <w:sz w:val="36"/>
          <w:szCs w:val="36"/>
          <w:highlight w:val="none"/>
        </w:rPr>
      </w:pPr>
    </w:p>
    <w:p w14:paraId="2E6F3E25">
      <w:pPr>
        <w:tabs>
          <w:tab w:val="left" w:pos="8088"/>
        </w:tabs>
        <w:jc w:val="center"/>
        <w:rPr>
          <w:rFonts w:hint="eastAsia" w:eastAsia="宋体" w:cs="黑体"/>
          <w:spacing w:val="60"/>
          <w:sz w:val="84"/>
          <w:szCs w:val="84"/>
          <w:highlight w:val="none"/>
          <w:lang w:val="en-US" w:eastAsia="zh-CN"/>
        </w:rPr>
      </w:pPr>
      <w:r>
        <w:rPr>
          <w:rFonts w:hint="eastAsia"/>
          <w:b/>
          <w:bCs/>
          <w:sz w:val="36"/>
          <w:szCs w:val="36"/>
          <w:highlight w:val="none"/>
          <w:lang w:eastAsia="zh-CN"/>
        </w:rPr>
        <w:t>北新桥航标沿线护坡防塌加固工程</w:t>
      </w:r>
    </w:p>
    <w:p w14:paraId="0D2A75E8">
      <w:pPr>
        <w:pStyle w:val="20"/>
        <w:rPr>
          <w:highlight w:val="none"/>
        </w:rPr>
      </w:pPr>
    </w:p>
    <w:p w14:paraId="43A6CCCD">
      <w:pPr>
        <w:pStyle w:val="20"/>
        <w:rPr>
          <w:highlight w:val="none"/>
        </w:rPr>
      </w:pPr>
    </w:p>
    <w:p w14:paraId="6D791E53">
      <w:pPr>
        <w:rPr>
          <w:highlight w:val="none"/>
        </w:rPr>
      </w:pPr>
    </w:p>
    <w:p w14:paraId="6DDCEE0C">
      <w:pPr>
        <w:pStyle w:val="20"/>
        <w:rPr>
          <w:highlight w:val="none"/>
        </w:rPr>
      </w:pPr>
    </w:p>
    <w:p w14:paraId="18D2738F">
      <w:pPr>
        <w:rPr>
          <w:highlight w:val="none"/>
        </w:rPr>
      </w:pPr>
    </w:p>
    <w:p w14:paraId="712F8D09">
      <w:pPr>
        <w:pStyle w:val="20"/>
        <w:rPr>
          <w:highlight w:val="none"/>
        </w:rPr>
      </w:pPr>
    </w:p>
    <w:p w14:paraId="57261290">
      <w:pPr>
        <w:rPr>
          <w:highlight w:val="none"/>
        </w:rPr>
      </w:pPr>
    </w:p>
    <w:p w14:paraId="14FC25BE">
      <w:pPr>
        <w:jc w:val="center"/>
        <w:rPr>
          <w:rFonts w:eastAsia="黑体" w:cs="黑体"/>
          <w:spacing w:val="60"/>
          <w:sz w:val="84"/>
          <w:szCs w:val="84"/>
          <w:highlight w:val="none"/>
        </w:rPr>
      </w:pPr>
      <w:r>
        <w:rPr>
          <w:rFonts w:hint="eastAsia" w:eastAsia="黑体" w:cs="黑体"/>
          <w:spacing w:val="60"/>
          <w:sz w:val="84"/>
          <w:szCs w:val="84"/>
          <w:highlight w:val="none"/>
        </w:rPr>
        <w:t>招标文件</w:t>
      </w:r>
    </w:p>
    <w:p w14:paraId="2F06D805">
      <w:pPr>
        <w:pStyle w:val="20"/>
        <w:rPr>
          <w:highlight w:val="none"/>
        </w:rPr>
      </w:pPr>
    </w:p>
    <w:p w14:paraId="7BCE4D0C">
      <w:pPr>
        <w:pStyle w:val="20"/>
        <w:rPr>
          <w:highlight w:val="none"/>
        </w:rPr>
      </w:pPr>
    </w:p>
    <w:p w14:paraId="6B0DA9FE">
      <w:pPr>
        <w:rPr>
          <w:highlight w:val="none"/>
        </w:rPr>
      </w:pPr>
    </w:p>
    <w:p w14:paraId="6DA36E24">
      <w:pPr>
        <w:pStyle w:val="20"/>
        <w:rPr>
          <w:highlight w:val="none"/>
        </w:rPr>
      </w:pPr>
    </w:p>
    <w:p w14:paraId="7A271C8D">
      <w:pPr>
        <w:rPr>
          <w:highlight w:val="none"/>
        </w:rPr>
      </w:pPr>
    </w:p>
    <w:p w14:paraId="666A9680">
      <w:pPr>
        <w:pStyle w:val="20"/>
        <w:rPr>
          <w:highlight w:val="none"/>
        </w:rPr>
      </w:pPr>
    </w:p>
    <w:p w14:paraId="3DDB31B4">
      <w:pPr>
        <w:rPr>
          <w:highlight w:val="none"/>
        </w:rPr>
      </w:pPr>
    </w:p>
    <w:p w14:paraId="60563EEA">
      <w:pPr>
        <w:pStyle w:val="20"/>
        <w:rPr>
          <w:highlight w:val="none"/>
        </w:rPr>
      </w:pPr>
    </w:p>
    <w:p w14:paraId="674B7A5B">
      <w:pPr>
        <w:rPr>
          <w:highlight w:val="none"/>
        </w:rPr>
      </w:pPr>
    </w:p>
    <w:p w14:paraId="0A477DCB">
      <w:pPr>
        <w:rPr>
          <w:highlight w:val="none"/>
        </w:rPr>
      </w:pPr>
    </w:p>
    <w:p w14:paraId="7C23B6B4">
      <w:pPr>
        <w:pStyle w:val="20"/>
        <w:rPr>
          <w:highlight w:val="none"/>
        </w:rPr>
      </w:pPr>
    </w:p>
    <w:p w14:paraId="2316E41E">
      <w:pPr>
        <w:pStyle w:val="20"/>
        <w:rPr>
          <w:highlight w:val="none"/>
        </w:rPr>
      </w:pPr>
    </w:p>
    <w:p w14:paraId="2A31B265">
      <w:pPr>
        <w:pStyle w:val="20"/>
        <w:rPr>
          <w:highlight w:val="none"/>
        </w:rPr>
      </w:pPr>
    </w:p>
    <w:p w14:paraId="7FF4FA7C">
      <w:pPr>
        <w:pStyle w:val="20"/>
        <w:rPr>
          <w:highlight w:val="none"/>
        </w:rPr>
      </w:pPr>
    </w:p>
    <w:tbl>
      <w:tblPr>
        <w:tblStyle w:val="52"/>
        <w:tblW w:w="8830" w:type="dxa"/>
        <w:jc w:val="center"/>
        <w:tblLayout w:type="fixed"/>
        <w:tblCellMar>
          <w:top w:w="0" w:type="dxa"/>
          <w:left w:w="108" w:type="dxa"/>
          <w:bottom w:w="0" w:type="dxa"/>
          <w:right w:w="108" w:type="dxa"/>
        </w:tblCellMar>
      </w:tblPr>
      <w:tblGrid>
        <w:gridCol w:w="2011"/>
        <w:gridCol w:w="6819"/>
      </w:tblGrid>
      <w:tr w14:paraId="763D49E0">
        <w:trPr>
          <w:trHeight w:val="566" w:hRule="atLeast"/>
          <w:jc w:val="center"/>
        </w:trPr>
        <w:tc>
          <w:tcPr>
            <w:tcW w:w="2011" w:type="dxa"/>
            <w:vAlign w:val="center"/>
          </w:tcPr>
          <w:p w14:paraId="072FEA4D">
            <w:pPr>
              <w:jc w:val="distribute"/>
              <w:rPr>
                <w:b/>
                <w:bCs/>
                <w:kern w:val="0"/>
                <w:sz w:val="36"/>
                <w:szCs w:val="36"/>
                <w:highlight w:val="none"/>
              </w:rPr>
            </w:pPr>
            <w:r>
              <w:rPr>
                <w:rFonts w:hint="eastAsia" w:cs="宋体"/>
                <w:b/>
                <w:bCs/>
                <w:kern w:val="0"/>
                <w:sz w:val="36"/>
                <w:szCs w:val="36"/>
                <w:highlight w:val="none"/>
              </w:rPr>
              <w:t>招标人：</w:t>
            </w:r>
          </w:p>
        </w:tc>
        <w:tc>
          <w:tcPr>
            <w:tcW w:w="6819" w:type="dxa"/>
            <w:vAlign w:val="center"/>
          </w:tcPr>
          <w:p w14:paraId="4F8FDD15">
            <w:pPr>
              <w:jc w:val="distribute"/>
              <w:rPr>
                <w:b/>
                <w:bCs/>
                <w:kern w:val="0"/>
                <w:sz w:val="36"/>
                <w:szCs w:val="36"/>
                <w:highlight w:val="none"/>
              </w:rPr>
            </w:pPr>
            <w:r>
              <w:rPr>
                <w:rFonts w:hint="eastAsia" w:cs="宋体"/>
                <w:b/>
                <w:bCs/>
                <w:kern w:val="0"/>
                <w:sz w:val="36"/>
                <w:szCs w:val="36"/>
                <w:highlight w:val="none"/>
              </w:rPr>
              <w:t>南通市港航事业发展中心</w:t>
            </w:r>
          </w:p>
        </w:tc>
      </w:tr>
      <w:tr w14:paraId="7AE76354">
        <w:tblPrEx>
          <w:tblCellMar>
            <w:top w:w="0" w:type="dxa"/>
            <w:left w:w="108" w:type="dxa"/>
            <w:bottom w:w="0" w:type="dxa"/>
            <w:right w:w="108" w:type="dxa"/>
          </w:tblCellMar>
        </w:tblPrEx>
        <w:trPr>
          <w:trHeight w:val="610" w:hRule="atLeast"/>
          <w:jc w:val="center"/>
        </w:trPr>
        <w:tc>
          <w:tcPr>
            <w:tcW w:w="2011" w:type="dxa"/>
            <w:vAlign w:val="bottom"/>
          </w:tcPr>
          <w:p w14:paraId="0F7DE406">
            <w:pPr>
              <w:jc w:val="distribute"/>
              <w:rPr>
                <w:b/>
                <w:bCs/>
                <w:kern w:val="0"/>
                <w:sz w:val="36"/>
                <w:szCs w:val="36"/>
                <w:highlight w:val="none"/>
              </w:rPr>
            </w:pPr>
            <w:bookmarkStart w:id="0" w:name="_Hlk141379063"/>
            <w:r>
              <w:rPr>
                <w:rFonts w:hint="eastAsia" w:cs="宋体"/>
                <w:b/>
                <w:bCs/>
                <w:kern w:val="0"/>
                <w:sz w:val="36"/>
                <w:szCs w:val="36"/>
                <w:highlight w:val="none"/>
              </w:rPr>
              <w:t>招标代理：</w:t>
            </w:r>
          </w:p>
        </w:tc>
        <w:tc>
          <w:tcPr>
            <w:tcW w:w="6819" w:type="dxa"/>
            <w:vAlign w:val="bottom"/>
          </w:tcPr>
          <w:p w14:paraId="602E4559">
            <w:pPr>
              <w:jc w:val="distribute"/>
              <w:rPr>
                <w:b/>
                <w:bCs/>
                <w:kern w:val="0"/>
                <w:sz w:val="36"/>
                <w:szCs w:val="36"/>
                <w:highlight w:val="none"/>
              </w:rPr>
            </w:pPr>
            <w:r>
              <w:rPr>
                <w:rFonts w:hint="eastAsia" w:cs="宋体"/>
                <w:b/>
                <w:bCs/>
                <w:kern w:val="0"/>
                <w:sz w:val="36"/>
                <w:szCs w:val="36"/>
                <w:highlight w:val="none"/>
              </w:rPr>
              <w:t>江苏睿致诚工程咨询有限公司</w:t>
            </w:r>
          </w:p>
        </w:tc>
      </w:tr>
      <w:bookmarkEnd w:id="0"/>
    </w:tbl>
    <w:p w14:paraId="4ED2C522">
      <w:pPr>
        <w:spacing w:before="120" w:beforeLines="50"/>
        <w:jc w:val="center"/>
        <w:rPr>
          <w:b/>
          <w:bCs/>
          <w:spacing w:val="40"/>
          <w:sz w:val="36"/>
          <w:szCs w:val="36"/>
          <w:highlight w:val="none"/>
        </w:rPr>
      </w:pPr>
      <w:r>
        <w:rPr>
          <w:rFonts w:hint="eastAsia" w:cs="宋体"/>
          <w:b/>
          <w:bCs/>
          <w:spacing w:val="40"/>
          <w:sz w:val="36"/>
          <w:szCs w:val="36"/>
          <w:highlight w:val="none"/>
        </w:rPr>
        <w:t>二〇二四年</w:t>
      </w:r>
      <w:r>
        <w:rPr>
          <w:rFonts w:hint="eastAsia" w:cs="宋体"/>
          <w:b/>
          <w:bCs/>
          <w:spacing w:val="40"/>
          <w:sz w:val="36"/>
          <w:szCs w:val="36"/>
          <w:highlight w:val="none"/>
          <w:lang w:val="en-US" w:eastAsia="zh-CN"/>
        </w:rPr>
        <w:t>十一</w:t>
      </w:r>
      <w:r>
        <w:rPr>
          <w:rFonts w:hint="eastAsia" w:cs="宋体"/>
          <w:b/>
          <w:bCs/>
          <w:spacing w:val="40"/>
          <w:sz w:val="36"/>
          <w:szCs w:val="36"/>
          <w:highlight w:val="none"/>
        </w:rPr>
        <w:t>月</w:t>
      </w:r>
    </w:p>
    <w:p w14:paraId="6ADC31EE">
      <w:pPr>
        <w:widowControl/>
        <w:jc w:val="center"/>
        <w:rPr>
          <w:rFonts w:hint="eastAsia" w:ascii="宋体" w:hAnsi="宋体" w:cs="宋体"/>
          <w:sz w:val="32"/>
          <w:szCs w:val="32"/>
          <w:highlight w:val="none"/>
        </w:rPr>
        <w:sectPr>
          <w:type w:val="continuous"/>
          <w:pgSz w:w="11905" w:h="16838"/>
          <w:pgMar w:top="1077" w:right="1134" w:bottom="1077" w:left="1134" w:header="850" w:footer="992" w:gutter="0"/>
          <w:pgNumType w:fmt="decimal"/>
          <w:cols w:space="0" w:num="1"/>
          <w:docGrid w:linePitch="312" w:charSpace="0"/>
        </w:sectPr>
      </w:pPr>
    </w:p>
    <w:p w14:paraId="6818594B">
      <w:pPr>
        <w:widowControl/>
        <w:jc w:val="center"/>
        <w:rPr>
          <w:rFonts w:hint="eastAsia" w:ascii="宋体" w:hAnsi="宋体" w:cs="宋体"/>
          <w:sz w:val="32"/>
          <w:szCs w:val="32"/>
          <w:highlight w:val="none"/>
        </w:rPr>
        <w:sectPr>
          <w:footerReference r:id="rId3" w:type="default"/>
          <w:type w:val="continuous"/>
          <w:pgSz w:w="11905" w:h="16838"/>
          <w:pgMar w:top="1077" w:right="1134" w:bottom="1077" w:left="1134" w:header="850" w:footer="992" w:gutter="0"/>
          <w:pgNumType w:fmt="decimal" w:start="1"/>
          <w:cols w:space="0" w:num="1"/>
          <w:docGrid w:linePitch="312" w:charSpace="0"/>
        </w:sectPr>
      </w:pPr>
    </w:p>
    <w:p w14:paraId="319655EB">
      <w:pPr>
        <w:widowControl/>
        <w:jc w:val="center"/>
        <w:rPr>
          <w:rFonts w:hint="eastAsia" w:ascii="宋体" w:hAnsi="宋体" w:cs="宋体"/>
          <w:sz w:val="32"/>
          <w:szCs w:val="32"/>
          <w:highlight w:val="none"/>
        </w:rPr>
      </w:pPr>
      <w:r>
        <w:rPr>
          <w:rFonts w:hint="eastAsia" w:ascii="宋体" w:hAnsi="宋体" w:cs="宋体"/>
          <w:sz w:val="32"/>
          <w:szCs w:val="32"/>
          <w:highlight w:val="none"/>
        </w:rPr>
        <w:t>第一章招标公告</w:t>
      </w:r>
    </w:p>
    <w:p w14:paraId="01D208E4">
      <w:pPr>
        <w:jc w:val="center"/>
        <w:rPr>
          <w:rFonts w:hint="eastAsia" w:ascii="宋体" w:hAnsi="宋体" w:cs="宋体"/>
          <w:b/>
          <w:bCs/>
          <w:sz w:val="28"/>
          <w:szCs w:val="28"/>
          <w:highlight w:val="none"/>
          <w:lang w:eastAsia="zh-CN"/>
        </w:rPr>
      </w:pPr>
      <w:r>
        <w:rPr>
          <w:rFonts w:hint="eastAsia" w:ascii="宋体" w:hAnsi="宋体" w:cs="宋体"/>
          <w:b/>
          <w:bCs/>
          <w:sz w:val="28"/>
          <w:szCs w:val="28"/>
          <w:highlight w:val="none"/>
          <w:lang w:eastAsia="zh-CN"/>
        </w:rPr>
        <w:t>北新桥航标沿线护坡防塌加固工程</w:t>
      </w:r>
    </w:p>
    <w:p w14:paraId="03BB6834">
      <w:pPr>
        <w:jc w:val="center"/>
        <w:rPr>
          <w:b/>
          <w:bCs/>
          <w:sz w:val="32"/>
          <w:szCs w:val="32"/>
          <w:highlight w:val="none"/>
        </w:rPr>
      </w:pPr>
      <w:r>
        <w:rPr>
          <w:rFonts w:hint="eastAsia" w:cs="宋体"/>
          <w:b/>
          <w:bCs/>
          <w:sz w:val="32"/>
          <w:szCs w:val="32"/>
          <w:highlight w:val="none"/>
        </w:rPr>
        <w:t>招标公告</w:t>
      </w:r>
    </w:p>
    <w:p w14:paraId="134FAE3B">
      <w:pPr>
        <w:adjustRightInd w:val="0"/>
        <w:snapToGrid w:val="0"/>
        <w:spacing w:line="360" w:lineRule="auto"/>
        <w:ind w:firstLine="480" w:firstLineChars="200"/>
        <w:rPr>
          <w:rFonts w:hint="eastAsia" w:ascii="宋体" w:hAnsi="宋体" w:cs="Microsoft JhengHei Light"/>
          <w:sz w:val="24"/>
          <w:szCs w:val="24"/>
          <w:highlight w:val="none"/>
        </w:rPr>
      </w:pPr>
      <w:r>
        <w:rPr>
          <w:rFonts w:ascii="宋体" w:hAnsi="宋体" w:cs="Microsoft JhengHei Light"/>
          <w:sz w:val="24"/>
          <w:szCs w:val="24"/>
          <w:highlight w:val="none"/>
        </w:rPr>
        <w:t>1. 招标条件</w:t>
      </w:r>
    </w:p>
    <w:p w14:paraId="4849681F">
      <w:pPr>
        <w:pStyle w:val="20"/>
        <w:spacing w:after="0" w:line="360" w:lineRule="auto"/>
        <w:ind w:firstLine="488" w:firstLineChars="200"/>
        <w:rPr>
          <w:highlight w:val="none"/>
        </w:rPr>
      </w:pPr>
      <w:bookmarkStart w:id="1" w:name="_Hlk141379251"/>
      <w:r>
        <w:rPr>
          <w:rFonts w:hint="eastAsia" w:ascii="宋体" w:hAnsi="宋体" w:cs="宋体"/>
          <w:spacing w:val="2"/>
          <w:sz w:val="24"/>
          <w:szCs w:val="24"/>
          <w:highlight w:val="none"/>
        </w:rPr>
        <w:t>本招标项</w:t>
      </w:r>
      <w:r>
        <w:rPr>
          <w:rFonts w:hint="eastAsia" w:ascii="宋体" w:hAnsi="宋体" w:cs="宋体"/>
          <w:spacing w:val="1"/>
          <w:sz w:val="24"/>
          <w:szCs w:val="24"/>
          <w:highlight w:val="none"/>
        </w:rPr>
        <w:t>目</w:t>
      </w:r>
      <w:bookmarkEnd w:id="1"/>
      <w:r>
        <w:rPr>
          <w:rFonts w:hint="eastAsia" w:ascii="宋体" w:hAnsi="宋体" w:cs="宋体"/>
          <w:sz w:val="24"/>
          <w:szCs w:val="24"/>
          <w:highlight w:val="none"/>
          <w:u w:val="single"/>
        </w:rPr>
        <w:t>北新桥航标沿线护坡防塌加固工程</w:t>
      </w:r>
      <w:r>
        <w:rPr>
          <w:rFonts w:hint="eastAsia" w:ascii="宋体" w:hAnsi="宋体" w:cs="宋体"/>
          <w:sz w:val="24"/>
          <w:szCs w:val="24"/>
          <w:highlight w:val="none"/>
          <w:u w:val="none"/>
        </w:rPr>
        <w:t>已批准建设，项目业主为</w:t>
      </w:r>
      <w:r>
        <w:rPr>
          <w:rFonts w:hint="eastAsia" w:ascii="宋体" w:hAnsi="宋体" w:cs="宋体"/>
          <w:sz w:val="24"/>
          <w:szCs w:val="24"/>
          <w:highlight w:val="none"/>
          <w:u w:val="single"/>
        </w:rPr>
        <w:t>南通市港航事业发展中心</w:t>
      </w:r>
      <w:r>
        <w:rPr>
          <w:rFonts w:hint="eastAsia" w:ascii="宋体" w:hAnsi="宋体" w:cs="宋体"/>
          <w:sz w:val="24"/>
          <w:szCs w:val="24"/>
          <w:highlight w:val="none"/>
          <w:u w:val="none"/>
        </w:rPr>
        <w:t>，建设资金</w:t>
      </w:r>
      <w:r>
        <w:rPr>
          <w:rFonts w:hint="eastAsia" w:ascii="宋体" w:hAnsi="宋体" w:cs="宋体"/>
          <w:sz w:val="24"/>
          <w:szCs w:val="24"/>
          <w:highlight w:val="none"/>
          <w:u w:val="none"/>
          <w:lang w:val="en-US" w:eastAsia="zh-CN"/>
        </w:rPr>
        <w:t>已落实</w:t>
      </w:r>
      <w:r>
        <w:rPr>
          <w:rFonts w:hint="eastAsia" w:ascii="宋体" w:hAnsi="宋体" w:cs="宋体"/>
          <w:sz w:val="24"/>
          <w:szCs w:val="24"/>
          <w:highlight w:val="none"/>
          <w:u w:val="none"/>
        </w:rPr>
        <w:t>，招标人为</w:t>
      </w:r>
      <w:r>
        <w:rPr>
          <w:rFonts w:hint="eastAsia" w:ascii="宋体" w:hAnsi="宋体" w:cs="宋体"/>
          <w:sz w:val="24"/>
          <w:szCs w:val="24"/>
          <w:highlight w:val="none"/>
          <w:u w:val="single"/>
        </w:rPr>
        <w:t>南通市港航事业发展中心</w:t>
      </w:r>
      <w:r>
        <w:rPr>
          <w:rFonts w:hint="eastAsia" w:ascii="宋体" w:hAnsi="宋体" w:cs="宋体"/>
          <w:sz w:val="24"/>
          <w:szCs w:val="24"/>
          <w:highlight w:val="none"/>
          <w:u w:val="none"/>
        </w:rPr>
        <w:t>。项目已具备招标条件，现对该项目的施工进行公开招标。</w:t>
      </w:r>
    </w:p>
    <w:p w14:paraId="56ABA8E0">
      <w:pPr>
        <w:adjustRightInd w:val="0"/>
        <w:snapToGrid w:val="0"/>
        <w:spacing w:line="360" w:lineRule="auto"/>
        <w:ind w:firstLine="480" w:firstLineChars="200"/>
        <w:rPr>
          <w:rFonts w:hint="eastAsia" w:ascii="宋体" w:hAnsi="宋体" w:cs="Microsoft JhengHei Light"/>
          <w:sz w:val="24"/>
          <w:szCs w:val="24"/>
          <w:highlight w:val="none"/>
        </w:rPr>
      </w:pPr>
      <w:r>
        <w:rPr>
          <w:rFonts w:ascii="宋体" w:hAnsi="宋体" w:cs="Microsoft JhengHei Light"/>
          <w:sz w:val="24"/>
          <w:szCs w:val="24"/>
          <w:highlight w:val="none"/>
        </w:rPr>
        <w:t>2. 项目概况与招标范围</w:t>
      </w:r>
    </w:p>
    <w:p w14:paraId="0265347F">
      <w:pPr>
        <w:adjustRightInd w:val="0"/>
        <w:snapToGrid w:val="0"/>
        <w:spacing w:line="360" w:lineRule="auto"/>
        <w:ind w:firstLine="480" w:firstLineChars="200"/>
        <w:jc w:val="left"/>
        <w:rPr>
          <w:rFonts w:hint="eastAsia" w:ascii="宋体" w:hAnsi="宋体" w:cs="Microsoft JhengHei Light"/>
          <w:sz w:val="24"/>
          <w:szCs w:val="24"/>
          <w:highlight w:val="none"/>
        </w:rPr>
      </w:pPr>
      <w:r>
        <w:rPr>
          <w:rFonts w:hint="eastAsia" w:ascii="宋体" w:hAnsi="宋体" w:cs="Microsoft JhengHei Light"/>
          <w:sz w:val="24"/>
          <w:szCs w:val="24"/>
          <w:highlight w:val="none"/>
        </w:rPr>
        <w:t>2.1 项目概况：</w:t>
      </w:r>
    </w:p>
    <w:p w14:paraId="629488C8">
      <w:pPr>
        <w:keepNext w:val="0"/>
        <w:keepLines w:val="0"/>
        <w:widowControl/>
        <w:suppressLineNumbers w:val="0"/>
        <w:adjustRightInd w:val="0"/>
        <w:snapToGrid w:val="0"/>
        <w:spacing w:line="360" w:lineRule="auto"/>
        <w:ind w:firstLine="480" w:firstLineChars="200"/>
        <w:jc w:val="both"/>
        <w:rPr>
          <w:rFonts w:hint="eastAsia" w:ascii="宋体" w:hAnsi="宋体" w:eastAsia="宋体" w:cs="宋体"/>
          <w:color w:val="000000"/>
          <w:kern w:val="0"/>
          <w:sz w:val="24"/>
          <w:szCs w:val="24"/>
          <w:highlight w:val="none"/>
          <w:lang w:val="en-US" w:eastAsia="zh-CN" w:bidi="ar"/>
        </w:rPr>
      </w:pPr>
      <w:bookmarkStart w:id="2" w:name="_Hlk141379315"/>
      <w:r>
        <w:rPr>
          <w:rFonts w:hint="eastAsia" w:ascii="宋体" w:hAnsi="宋体" w:cs="宋体"/>
          <w:sz w:val="24"/>
          <w:szCs w:val="24"/>
          <w:highlight w:val="none"/>
          <w:u w:val="none"/>
        </w:rPr>
        <w:t>北新桥航标沿线防塌加固工程位于启东市吕四港镇汇吕线（新三和港）与汇吕线（倒岸河）交叉口。该段航道现状等级为 Ⅵ级，规划等级为Ⅴ级，两岸现状为自然岸坡。原岸坡线被河道水流冲刷，导致原岸坡线南移约2米</w:t>
      </w:r>
      <w:r>
        <w:rPr>
          <w:rFonts w:hint="eastAsia" w:ascii="宋体" w:hAnsi="宋体" w:cs="宋体"/>
          <w:sz w:val="24"/>
          <w:szCs w:val="24"/>
          <w:highlight w:val="none"/>
          <w:u w:val="none"/>
          <w:lang w:eastAsia="zh-CN"/>
        </w:rPr>
        <w:t>，</w:t>
      </w:r>
      <w:r>
        <w:rPr>
          <w:rFonts w:hint="eastAsia" w:ascii="宋体" w:hAnsi="宋体" w:cs="宋体"/>
          <w:sz w:val="24"/>
          <w:szCs w:val="24"/>
          <w:highlight w:val="none"/>
          <w:u w:val="none"/>
        </w:rPr>
        <w:t>现状航标距离岸坡已不足4米，且岸坡有继续垮塌的趋势，严重危及航标设施安全，</w:t>
      </w:r>
      <w:r>
        <w:rPr>
          <w:rFonts w:hint="eastAsia" w:ascii="宋体" w:hAnsi="宋体" w:cs="宋体"/>
          <w:sz w:val="24"/>
          <w:szCs w:val="24"/>
          <w:highlight w:val="none"/>
          <w:u w:val="none"/>
          <w:lang w:val="en-US" w:eastAsia="zh-CN"/>
        </w:rPr>
        <w:t>现</w:t>
      </w:r>
      <w:r>
        <w:rPr>
          <w:rFonts w:hint="eastAsia" w:ascii="宋体" w:hAnsi="宋体" w:cs="宋体"/>
          <w:sz w:val="24"/>
          <w:szCs w:val="24"/>
          <w:highlight w:val="none"/>
          <w:u w:val="none"/>
        </w:rPr>
        <w:t>对岸坡进行加固处理</w:t>
      </w:r>
      <w:r>
        <w:rPr>
          <w:rFonts w:hint="eastAsia" w:ascii="宋体" w:hAnsi="宋体" w:cs="宋体"/>
          <w:sz w:val="24"/>
          <w:szCs w:val="24"/>
          <w:highlight w:val="none"/>
          <w:u w:val="none"/>
          <w:lang w:eastAsia="zh-CN"/>
        </w:rPr>
        <w:t>，护岸总长度36</w:t>
      </w:r>
      <w:r>
        <w:rPr>
          <w:rFonts w:hint="eastAsia" w:ascii="宋体" w:hAnsi="宋体" w:cs="宋体"/>
          <w:sz w:val="24"/>
          <w:szCs w:val="24"/>
          <w:highlight w:val="none"/>
          <w:u w:val="none"/>
        </w:rPr>
        <w:t>米</w:t>
      </w:r>
      <w:r>
        <w:rPr>
          <w:rFonts w:hint="eastAsia" w:ascii="宋体" w:hAnsi="宋体" w:cs="宋体"/>
          <w:sz w:val="24"/>
          <w:szCs w:val="24"/>
          <w:highlight w:val="none"/>
          <w:u w:val="none"/>
          <w:lang w:eastAsia="zh-CN"/>
        </w:rPr>
        <w:t>，不涉及航道疏浚。</w:t>
      </w:r>
    </w:p>
    <w:bookmarkEnd w:id="2"/>
    <w:p w14:paraId="14FAFB69">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2.2.招标范围与内容：</w:t>
      </w:r>
    </w:p>
    <w:p w14:paraId="15D89774">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本项目共设一个标段，为</w:t>
      </w:r>
      <w:r>
        <w:rPr>
          <w:rFonts w:hint="eastAsia" w:ascii="宋体" w:hAnsi="宋体"/>
          <w:sz w:val="24"/>
          <w:szCs w:val="24"/>
          <w:highlight w:val="none"/>
          <w:lang w:val="en-US" w:eastAsia="zh-CN"/>
        </w:rPr>
        <w:t>BXQHPJG</w:t>
      </w:r>
      <w:r>
        <w:rPr>
          <w:rFonts w:hint="eastAsia" w:ascii="宋体" w:hAnsi="宋体"/>
          <w:sz w:val="24"/>
          <w:szCs w:val="24"/>
          <w:highlight w:val="none"/>
        </w:rPr>
        <w:t>标段，</w:t>
      </w:r>
      <w:r>
        <w:rPr>
          <w:rFonts w:hint="eastAsia" w:ascii="宋体" w:hAnsi="宋体"/>
          <w:sz w:val="24"/>
          <w:szCs w:val="24"/>
          <w:highlight w:val="none"/>
          <w:lang w:val="en-US" w:eastAsia="zh-CN"/>
        </w:rPr>
        <w:t>招标</w:t>
      </w:r>
      <w:r>
        <w:rPr>
          <w:rFonts w:hint="eastAsia" w:ascii="宋体" w:hAnsi="宋体"/>
          <w:sz w:val="24"/>
          <w:szCs w:val="24"/>
          <w:highlight w:val="none"/>
        </w:rPr>
        <w:t>范围与内容为北新桥航标沿线护坡防塌加固工程施工图范围内的工程施工及缺陷责任期的缺陷修复等。</w:t>
      </w:r>
    </w:p>
    <w:p w14:paraId="2C1C045C">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2.3</w:t>
      </w:r>
      <w:r>
        <w:rPr>
          <w:rFonts w:hint="eastAsia" w:ascii="宋体" w:hAnsi="宋体"/>
          <w:sz w:val="24"/>
          <w:szCs w:val="24"/>
          <w:highlight w:val="none"/>
        </w:rPr>
        <w:t>计划工期：</w:t>
      </w:r>
      <w:r>
        <w:rPr>
          <w:rFonts w:hint="eastAsia" w:ascii="宋体" w:hAnsi="宋体"/>
          <w:sz w:val="24"/>
          <w:szCs w:val="24"/>
          <w:highlight w:val="none"/>
          <w:lang w:val="en-US" w:eastAsia="zh-CN"/>
        </w:rPr>
        <w:t>60日历天</w:t>
      </w:r>
      <w:r>
        <w:rPr>
          <w:rFonts w:hint="eastAsia" w:ascii="宋体" w:hAnsi="宋体"/>
          <w:sz w:val="24"/>
          <w:szCs w:val="24"/>
          <w:highlight w:val="none"/>
        </w:rPr>
        <w:t>。计划开工日期：2024年</w:t>
      </w:r>
      <w:r>
        <w:rPr>
          <w:rFonts w:hint="eastAsia" w:ascii="宋体" w:hAnsi="宋体"/>
          <w:sz w:val="24"/>
          <w:szCs w:val="24"/>
          <w:highlight w:val="none"/>
          <w:lang w:val="en-US" w:eastAsia="zh-CN"/>
        </w:rPr>
        <w:t>12</w:t>
      </w:r>
      <w:r>
        <w:rPr>
          <w:rFonts w:hint="eastAsia" w:ascii="宋体" w:hAnsi="宋体"/>
          <w:sz w:val="24"/>
          <w:szCs w:val="24"/>
          <w:highlight w:val="none"/>
        </w:rPr>
        <w:t>月</w:t>
      </w:r>
      <w:r>
        <w:rPr>
          <w:rFonts w:hint="eastAsia" w:ascii="宋体" w:hAnsi="宋体"/>
          <w:sz w:val="24"/>
          <w:szCs w:val="24"/>
          <w:highlight w:val="none"/>
          <w:lang w:val="en-US" w:eastAsia="zh-CN"/>
        </w:rPr>
        <w:t>9日</w:t>
      </w:r>
      <w:r>
        <w:rPr>
          <w:rFonts w:hint="eastAsia" w:ascii="宋体" w:hAnsi="宋体"/>
          <w:sz w:val="24"/>
          <w:szCs w:val="24"/>
          <w:highlight w:val="none"/>
          <w:lang w:eastAsia="zh-CN"/>
        </w:rPr>
        <w:t>，</w:t>
      </w:r>
      <w:r>
        <w:rPr>
          <w:rFonts w:hint="eastAsia" w:ascii="宋体" w:hAnsi="宋体"/>
          <w:sz w:val="24"/>
          <w:szCs w:val="24"/>
          <w:highlight w:val="none"/>
        </w:rPr>
        <w:t>具体开工日期以监理签发的开工令为准。</w:t>
      </w:r>
    </w:p>
    <w:p w14:paraId="44FFEF7F">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缺陷责任期：12个月（自通过</w:t>
      </w:r>
      <w:r>
        <w:rPr>
          <w:rFonts w:hint="eastAsia" w:ascii="宋体" w:hAnsi="宋体"/>
          <w:sz w:val="24"/>
          <w:szCs w:val="24"/>
          <w:highlight w:val="none"/>
          <w:lang w:val="en-US" w:eastAsia="zh-CN"/>
        </w:rPr>
        <w:t>交（</w:t>
      </w:r>
      <w:r>
        <w:rPr>
          <w:rFonts w:hint="eastAsia" w:ascii="宋体" w:hAnsi="宋体"/>
          <w:sz w:val="24"/>
          <w:szCs w:val="24"/>
          <w:highlight w:val="none"/>
        </w:rPr>
        <w:t>竣</w:t>
      </w:r>
      <w:r>
        <w:rPr>
          <w:rFonts w:hint="eastAsia" w:ascii="宋体" w:hAnsi="宋体"/>
          <w:sz w:val="24"/>
          <w:szCs w:val="24"/>
          <w:highlight w:val="none"/>
          <w:lang w:val="en-US" w:eastAsia="zh-CN"/>
        </w:rPr>
        <w:t>）</w:t>
      </w:r>
      <w:r>
        <w:rPr>
          <w:rFonts w:hint="eastAsia" w:ascii="宋体" w:hAnsi="宋体"/>
          <w:sz w:val="24"/>
          <w:szCs w:val="24"/>
          <w:highlight w:val="none"/>
        </w:rPr>
        <w:t>工验收之日起计算）。</w:t>
      </w:r>
    </w:p>
    <w:p w14:paraId="1332E4F5">
      <w:pPr>
        <w:spacing w:line="360" w:lineRule="auto"/>
        <w:ind w:firstLine="484" w:firstLineChars="200"/>
        <w:rPr>
          <w:rFonts w:hint="eastAsia" w:ascii="宋体" w:hAnsi="宋体" w:cs="宋体"/>
          <w:spacing w:val="1"/>
          <w:sz w:val="24"/>
          <w:szCs w:val="24"/>
          <w:highlight w:val="none"/>
        </w:rPr>
      </w:pPr>
      <w:r>
        <w:rPr>
          <w:rFonts w:hint="eastAsia" w:ascii="宋体" w:hAnsi="宋体" w:cs="宋体"/>
          <w:spacing w:val="1"/>
          <w:sz w:val="24"/>
          <w:szCs w:val="24"/>
          <w:highlight w:val="none"/>
        </w:rPr>
        <w:t>2.</w:t>
      </w:r>
      <w:r>
        <w:rPr>
          <w:rFonts w:hint="eastAsia" w:ascii="宋体" w:hAnsi="宋体" w:cs="宋体"/>
          <w:spacing w:val="1"/>
          <w:sz w:val="24"/>
          <w:szCs w:val="24"/>
          <w:highlight w:val="none"/>
          <w:lang w:val="en-US" w:eastAsia="zh-CN"/>
        </w:rPr>
        <w:t>4</w:t>
      </w:r>
      <w:r>
        <w:rPr>
          <w:rFonts w:hint="eastAsia" w:ascii="宋体" w:hAnsi="宋体" w:cs="宋体"/>
          <w:spacing w:val="1"/>
          <w:sz w:val="24"/>
          <w:szCs w:val="24"/>
          <w:highlight w:val="none"/>
        </w:rPr>
        <w:t>质量要求：达到交通运输部发布的《水运工程质量检验标准》合格等级，且达到江苏省市场监督管理局发布的《内河航道维护技术及质量评定规范》优良等级。</w:t>
      </w:r>
    </w:p>
    <w:p w14:paraId="2E85ADCE">
      <w:pPr>
        <w:spacing w:line="360" w:lineRule="auto"/>
        <w:ind w:firstLine="484" w:firstLineChars="200"/>
        <w:rPr>
          <w:rFonts w:hint="eastAsia" w:ascii="宋体" w:hAnsi="宋体" w:cs="宋体"/>
          <w:spacing w:val="1"/>
          <w:sz w:val="24"/>
          <w:szCs w:val="24"/>
          <w:highlight w:val="none"/>
        </w:rPr>
      </w:pPr>
      <w:r>
        <w:rPr>
          <w:rFonts w:hint="eastAsia" w:ascii="宋体" w:hAnsi="宋体" w:cs="宋体"/>
          <w:spacing w:val="1"/>
          <w:sz w:val="24"/>
          <w:szCs w:val="24"/>
          <w:highlight w:val="none"/>
        </w:rPr>
        <w:t>2.</w:t>
      </w:r>
      <w:r>
        <w:rPr>
          <w:rFonts w:hint="eastAsia" w:ascii="宋体" w:hAnsi="宋体" w:cs="宋体"/>
          <w:spacing w:val="1"/>
          <w:sz w:val="24"/>
          <w:szCs w:val="24"/>
          <w:highlight w:val="none"/>
          <w:lang w:val="en-US" w:eastAsia="zh-CN"/>
        </w:rPr>
        <w:t>5</w:t>
      </w:r>
      <w:r>
        <w:rPr>
          <w:rFonts w:hint="eastAsia" w:ascii="宋体" w:hAnsi="宋体" w:cs="宋体"/>
          <w:spacing w:val="1"/>
          <w:sz w:val="24"/>
          <w:szCs w:val="24"/>
          <w:highlight w:val="none"/>
        </w:rPr>
        <w:t>安全目标：</w:t>
      </w:r>
      <w:r>
        <w:rPr>
          <w:rFonts w:hint="eastAsia" w:ascii="宋体" w:hAnsi="宋体" w:cs="宋体"/>
          <w:kern w:val="0"/>
          <w:sz w:val="24"/>
          <w:szCs w:val="24"/>
          <w:highlight w:val="none"/>
        </w:rPr>
        <w:t>无一般及以上安全生产事故，</w:t>
      </w:r>
      <w:r>
        <w:rPr>
          <w:rFonts w:hint="eastAsia" w:ascii="宋体" w:hAnsi="宋体" w:cs="宋体"/>
          <w:kern w:val="0"/>
          <w:sz w:val="24"/>
          <w:szCs w:val="24"/>
          <w:highlight w:val="none"/>
          <w:lang w:val="en-US" w:eastAsia="zh-CN"/>
        </w:rPr>
        <w:t>确保</w:t>
      </w:r>
      <w:r>
        <w:rPr>
          <w:rFonts w:hint="eastAsia" w:ascii="宋体" w:hAnsi="宋体" w:cs="宋体"/>
          <w:kern w:val="0"/>
          <w:sz w:val="24"/>
          <w:szCs w:val="24"/>
          <w:highlight w:val="none"/>
        </w:rPr>
        <w:t>安全生产无责任事故。</w:t>
      </w:r>
    </w:p>
    <w:p w14:paraId="79EAC335">
      <w:pPr>
        <w:adjustRightInd w:val="0"/>
        <w:snapToGrid w:val="0"/>
        <w:spacing w:line="360" w:lineRule="auto"/>
        <w:ind w:firstLine="480" w:firstLineChars="200"/>
        <w:rPr>
          <w:rFonts w:hint="eastAsia" w:ascii="宋体" w:hAnsi="宋体" w:cs="Microsoft JhengHei Light"/>
          <w:sz w:val="24"/>
          <w:szCs w:val="24"/>
          <w:highlight w:val="none"/>
        </w:rPr>
      </w:pPr>
      <w:r>
        <w:rPr>
          <w:rFonts w:ascii="宋体" w:hAnsi="宋体" w:cs="Microsoft JhengHei Light"/>
          <w:sz w:val="24"/>
          <w:szCs w:val="24"/>
          <w:highlight w:val="none"/>
        </w:rPr>
        <w:t>3. 投标人资格要求</w:t>
      </w:r>
    </w:p>
    <w:p w14:paraId="59BFBFB0">
      <w:pPr>
        <w:adjustRightInd w:val="0"/>
        <w:snapToGrid w:val="0"/>
        <w:spacing w:line="360" w:lineRule="auto"/>
        <w:ind w:firstLine="480" w:firstLineChars="200"/>
        <w:jc w:val="left"/>
        <w:rPr>
          <w:rFonts w:hint="eastAsia" w:ascii="宋体" w:hAnsi="宋体"/>
          <w:sz w:val="24"/>
          <w:szCs w:val="24"/>
          <w:highlight w:val="none"/>
        </w:rPr>
      </w:pPr>
      <w:bookmarkStart w:id="3" w:name="_Hlk44357884"/>
      <w:r>
        <w:rPr>
          <w:rFonts w:hint="eastAsia" w:ascii="宋体" w:hAnsi="宋体"/>
          <w:sz w:val="24"/>
          <w:szCs w:val="24"/>
          <w:highlight w:val="none"/>
        </w:rPr>
        <w:t>3.1投标人应具备的承担本次招标项目的资质条件、能力和信誉要求为：</w:t>
      </w:r>
    </w:p>
    <w:p w14:paraId="6B3C8FFD">
      <w:pPr>
        <w:adjustRightInd w:val="0"/>
        <w:snapToGrid w:val="0"/>
        <w:spacing w:line="360" w:lineRule="auto"/>
        <w:ind w:firstLine="480" w:firstLineChars="200"/>
        <w:jc w:val="left"/>
        <w:rPr>
          <w:rFonts w:hint="eastAsia" w:ascii="宋体" w:hAnsi="宋体"/>
          <w:sz w:val="24"/>
          <w:szCs w:val="24"/>
          <w:highlight w:val="none"/>
        </w:rPr>
      </w:pPr>
      <w:bookmarkStart w:id="4" w:name="_Hlk141379472"/>
      <w:r>
        <w:rPr>
          <w:rFonts w:ascii="宋体" w:hAnsi="宋体"/>
          <w:sz w:val="24"/>
          <w:szCs w:val="24"/>
          <w:highlight w:val="none"/>
        </w:rPr>
        <w:t>(1)</w:t>
      </w:r>
      <w:r>
        <w:rPr>
          <w:rFonts w:hint="eastAsia" w:ascii="宋体" w:hAnsi="宋体"/>
          <w:sz w:val="24"/>
          <w:szCs w:val="24"/>
          <w:highlight w:val="none"/>
        </w:rPr>
        <w:t>资质条件：</w:t>
      </w:r>
    </w:p>
    <w:p w14:paraId="794ECDB2">
      <w:pPr>
        <w:adjustRightInd w:val="0"/>
        <w:snapToGrid w:val="0"/>
        <w:spacing w:line="360" w:lineRule="auto"/>
        <w:ind w:firstLine="484" w:firstLineChars="200"/>
        <w:jc w:val="left"/>
        <w:rPr>
          <w:rFonts w:hint="eastAsia" w:ascii="宋体" w:hAnsi="宋体"/>
          <w:sz w:val="24"/>
          <w:szCs w:val="24"/>
          <w:highlight w:val="none"/>
        </w:rPr>
      </w:pPr>
      <w:r>
        <w:rPr>
          <w:rFonts w:hint="eastAsia" w:ascii="宋体" w:hAnsi="宋体" w:cs="宋体"/>
          <w:spacing w:val="1"/>
          <w:sz w:val="24"/>
          <w:szCs w:val="24"/>
          <w:highlight w:val="none"/>
        </w:rPr>
        <w:t>A、</w:t>
      </w:r>
      <w:r>
        <w:rPr>
          <w:rFonts w:hint="eastAsia" w:ascii="宋体" w:hAnsi="宋体"/>
          <w:sz w:val="24"/>
          <w:szCs w:val="24"/>
          <w:highlight w:val="none"/>
        </w:rPr>
        <w:t>投标人应为独立法人，具备有效的企业基本账户开户许可证或企业基本存款账户信息；</w:t>
      </w:r>
    </w:p>
    <w:p w14:paraId="77998541">
      <w:pPr>
        <w:adjustRightInd w:val="0"/>
        <w:snapToGrid w:val="0"/>
        <w:spacing w:line="360" w:lineRule="auto"/>
        <w:ind w:firstLine="484" w:firstLineChars="200"/>
        <w:jc w:val="left"/>
        <w:rPr>
          <w:rFonts w:hint="eastAsia" w:ascii="宋体" w:hAnsi="宋体"/>
          <w:sz w:val="24"/>
          <w:szCs w:val="24"/>
          <w:highlight w:val="none"/>
        </w:rPr>
      </w:pPr>
      <w:r>
        <w:rPr>
          <w:rFonts w:hint="eastAsia" w:ascii="宋体" w:hAnsi="宋体" w:cs="宋体"/>
          <w:spacing w:val="1"/>
          <w:sz w:val="24"/>
          <w:szCs w:val="24"/>
          <w:highlight w:val="none"/>
        </w:rPr>
        <w:t>B、</w:t>
      </w:r>
      <w:r>
        <w:rPr>
          <w:rFonts w:hint="eastAsia" w:ascii="宋体" w:hAnsi="宋体"/>
          <w:sz w:val="24"/>
          <w:szCs w:val="24"/>
          <w:highlight w:val="none"/>
        </w:rPr>
        <w:t>投标人应具有有效的省级及以上相关部门核发的《安全生产许可证》；</w:t>
      </w:r>
    </w:p>
    <w:p w14:paraId="4302595F">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C、投标人应具有有效的港口与航道工程施工总承包三级（及以上）资质或航道工程专业承包三级（及以上）资质。</w:t>
      </w:r>
    </w:p>
    <w:p w14:paraId="75AED45F">
      <w:pPr>
        <w:adjustRightInd w:val="0"/>
        <w:snapToGrid w:val="0"/>
        <w:spacing w:line="360" w:lineRule="auto"/>
        <w:ind w:firstLine="480" w:firstLineChars="200"/>
        <w:jc w:val="left"/>
        <w:rPr>
          <w:rFonts w:hint="eastAsia" w:ascii="宋体" w:hAnsi="宋体" w:eastAsia="宋体"/>
          <w:sz w:val="24"/>
          <w:szCs w:val="24"/>
          <w:highlight w:val="none"/>
          <w:lang w:eastAsia="zh-CN"/>
        </w:rPr>
      </w:pPr>
      <w:r>
        <w:rPr>
          <w:rFonts w:hint="eastAsia" w:ascii="宋体" w:hAnsi="宋体"/>
          <w:sz w:val="24"/>
          <w:szCs w:val="24"/>
          <w:highlight w:val="none"/>
        </w:rPr>
        <w:t>(2)业绩要求：</w:t>
      </w:r>
      <w:r>
        <w:rPr>
          <w:rFonts w:hint="eastAsia" w:ascii="宋体" w:hAnsi="宋体"/>
          <w:sz w:val="24"/>
          <w:szCs w:val="24"/>
          <w:highlight w:val="none"/>
          <w:lang w:val="en-US" w:eastAsia="zh-CN"/>
        </w:rPr>
        <w:t>自</w:t>
      </w:r>
      <w:r>
        <w:rPr>
          <w:rFonts w:hint="eastAsia" w:ascii="宋体" w:hAnsi="宋体"/>
          <w:sz w:val="24"/>
          <w:szCs w:val="24"/>
          <w:highlight w:val="none"/>
        </w:rPr>
        <w:t>2019年1月1日以来（以</w:t>
      </w:r>
      <w:r>
        <w:rPr>
          <w:rFonts w:hint="eastAsia" w:ascii="宋体" w:hAnsi="宋体"/>
          <w:sz w:val="24"/>
          <w:szCs w:val="24"/>
          <w:highlight w:val="none"/>
          <w:lang w:val="en-US" w:eastAsia="zh-CN"/>
        </w:rPr>
        <w:t>合同签订</w:t>
      </w:r>
      <w:r>
        <w:rPr>
          <w:rFonts w:hint="eastAsia" w:ascii="宋体" w:hAnsi="宋体"/>
          <w:sz w:val="24"/>
          <w:szCs w:val="24"/>
          <w:highlight w:val="none"/>
        </w:rPr>
        <w:t>时间为准），投标人</w:t>
      </w:r>
      <w:r>
        <w:rPr>
          <w:rFonts w:hint="eastAsia" w:ascii="宋体" w:hAnsi="宋体"/>
          <w:sz w:val="24"/>
          <w:szCs w:val="24"/>
          <w:highlight w:val="none"/>
          <w:lang w:val="en-US" w:eastAsia="zh-CN"/>
        </w:rPr>
        <w:t>承担</w:t>
      </w:r>
      <w:r>
        <w:rPr>
          <w:rFonts w:hint="eastAsia" w:ascii="宋体" w:hAnsi="宋体"/>
          <w:sz w:val="24"/>
          <w:szCs w:val="24"/>
          <w:highlight w:val="none"/>
        </w:rPr>
        <w:t>过航道护岸工程施工项目</w:t>
      </w:r>
      <w:r>
        <w:rPr>
          <w:rFonts w:hint="eastAsia" w:ascii="宋体" w:hAnsi="宋体"/>
          <w:sz w:val="24"/>
          <w:szCs w:val="24"/>
          <w:highlight w:val="none"/>
          <w:lang w:eastAsia="zh-CN"/>
        </w:rPr>
        <w:t>。</w:t>
      </w:r>
    </w:p>
    <w:p w14:paraId="75B206B4">
      <w:pPr>
        <w:numPr>
          <w:ilvl w:val="255"/>
          <w:numId w:val="0"/>
        </w:numPr>
        <w:adjustRightInd w:val="0"/>
        <w:snapToGrid w:val="0"/>
        <w:spacing w:line="360" w:lineRule="auto"/>
        <w:ind w:firstLine="480" w:firstLineChars="200"/>
        <w:jc w:val="left"/>
        <w:rPr>
          <w:rFonts w:hint="eastAsia" w:ascii="宋体" w:hAnsi="宋体" w:cs="宋体"/>
          <w:spacing w:val="1"/>
          <w:sz w:val="24"/>
          <w:szCs w:val="24"/>
          <w:highlight w:val="none"/>
        </w:rPr>
      </w:pP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w:t>
      </w:r>
      <w:r>
        <w:rPr>
          <w:rFonts w:hint="eastAsia" w:ascii="宋体" w:hAnsi="宋体" w:cs="宋体"/>
          <w:spacing w:val="1"/>
          <w:sz w:val="24"/>
          <w:szCs w:val="24"/>
          <w:highlight w:val="none"/>
        </w:rPr>
        <w:t>信誉要求：</w:t>
      </w:r>
    </w:p>
    <w:p w14:paraId="1E001D37">
      <w:pPr>
        <w:numPr>
          <w:ilvl w:val="255"/>
          <w:numId w:val="0"/>
        </w:numPr>
        <w:adjustRightInd w:val="0"/>
        <w:snapToGrid w:val="0"/>
        <w:spacing w:line="360" w:lineRule="auto"/>
        <w:ind w:firstLine="484" w:firstLineChars="200"/>
        <w:jc w:val="left"/>
        <w:rPr>
          <w:rFonts w:hint="eastAsia" w:ascii="宋体" w:hAnsi="宋体"/>
          <w:sz w:val="24"/>
          <w:szCs w:val="24"/>
          <w:highlight w:val="none"/>
        </w:rPr>
      </w:pPr>
      <w:r>
        <w:rPr>
          <w:rFonts w:hint="eastAsia" w:ascii="宋体" w:hAnsi="宋体" w:cs="宋体"/>
          <w:spacing w:val="1"/>
          <w:sz w:val="24"/>
          <w:szCs w:val="24"/>
          <w:highlight w:val="none"/>
        </w:rPr>
        <w:t>A、</w:t>
      </w:r>
      <w:r>
        <w:rPr>
          <w:rFonts w:hint="eastAsia" w:ascii="宋体" w:hAnsi="宋体"/>
          <w:sz w:val="24"/>
          <w:szCs w:val="24"/>
          <w:highlight w:val="none"/>
        </w:rPr>
        <w:t>投标文件递交截止日当天，投标人在最近一期江苏省公路水路建设市场从业单位信用评定结果中的信用等级被评为C级或以上级别（从业单位在本省无信用评价记录的，信用等级按省交通运输厅关于印发《江苏省公路水运建设市场信用信息管理办法》的通知苏交规〔2024〕6号文件执行。信用类别：施工。后同）；</w:t>
      </w:r>
    </w:p>
    <w:p w14:paraId="613387BC">
      <w:pPr>
        <w:numPr>
          <w:ilvl w:val="255"/>
          <w:numId w:val="0"/>
        </w:numPr>
        <w:adjustRightInd w:val="0"/>
        <w:snapToGrid w:val="0"/>
        <w:spacing w:line="360" w:lineRule="auto"/>
        <w:ind w:firstLine="484" w:firstLineChars="200"/>
        <w:jc w:val="left"/>
        <w:rPr>
          <w:rFonts w:hint="eastAsia" w:ascii="宋体" w:hAnsi="宋体"/>
          <w:sz w:val="24"/>
          <w:szCs w:val="24"/>
          <w:highlight w:val="none"/>
        </w:rPr>
      </w:pPr>
      <w:r>
        <w:rPr>
          <w:rFonts w:hint="eastAsia" w:ascii="宋体" w:hAnsi="宋体" w:cs="宋体"/>
          <w:spacing w:val="1"/>
          <w:sz w:val="24"/>
          <w:szCs w:val="24"/>
          <w:highlight w:val="none"/>
        </w:rPr>
        <w:t>B、</w:t>
      </w:r>
      <w:r>
        <w:rPr>
          <w:rFonts w:hint="eastAsia" w:ascii="宋体" w:hAnsi="宋体"/>
          <w:sz w:val="24"/>
          <w:szCs w:val="24"/>
          <w:highlight w:val="none"/>
        </w:rPr>
        <w:t>投标文件递交截止日当天，投标人未在“信用中国”网站（http://www.creditchina.gov.cn/）中被列入失信被执行人名单；</w:t>
      </w:r>
    </w:p>
    <w:p w14:paraId="746B6266">
      <w:pPr>
        <w:numPr>
          <w:ilvl w:val="255"/>
          <w:numId w:val="0"/>
        </w:num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C、投标文件递交截止日当天，投标人未在国家企业信用信息公示系统（http://www.gsxt.gov.cn/）中被列入严重违法失信企业名单；</w:t>
      </w:r>
    </w:p>
    <w:p w14:paraId="47EDE02B">
      <w:pPr>
        <w:widowControl/>
        <w:adjustRightInd w:val="0"/>
        <w:snapToGrid w:val="0"/>
        <w:spacing w:line="360" w:lineRule="auto"/>
        <w:ind w:firstLine="484" w:firstLineChars="200"/>
        <w:jc w:val="left"/>
        <w:rPr>
          <w:rFonts w:hint="eastAsia" w:ascii="宋体" w:hAnsi="宋体"/>
          <w:sz w:val="24"/>
          <w:szCs w:val="24"/>
          <w:highlight w:val="none"/>
        </w:rPr>
      </w:pPr>
      <w:r>
        <w:rPr>
          <w:rFonts w:hint="eastAsia" w:ascii="宋体" w:hAnsi="宋体" w:cs="宋体"/>
          <w:spacing w:val="1"/>
          <w:sz w:val="24"/>
          <w:szCs w:val="24"/>
          <w:highlight w:val="none"/>
        </w:rPr>
        <w:t>D、</w:t>
      </w:r>
      <w:r>
        <w:rPr>
          <w:rFonts w:hint="eastAsia" w:ascii="宋体" w:hAnsi="宋体"/>
          <w:sz w:val="24"/>
          <w:szCs w:val="24"/>
          <w:highlight w:val="none"/>
        </w:rPr>
        <w:t>投标文件递交截止日当天，投标人未被列入“信用交通江苏”网站公布的“江苏省交通运输失信联合惩戒对象名单”（黑名单）。</w:t>
      </w:r>
    </w:p>
    <w:p w14:paraId="6D8681D9">
      <w:pPr>
        <w:adjustRightInd w:val="0"/>
        <w:snapToGrid w:val="0"/>
        <w:spacing w:line="360" w:lineRule="auto"/>
        <w:ind w:firstLine="480" w:firstLineChars="200"/>
        <w:jc w:val="left"/>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w:t>
      </w:r>
      <w:r>
        <w:rPr>
          <w:rFonts w:hint="eastAsia" w:ascii="宋体" w:hAnsi="宋体" w:cs="宋体"/>
          <w:spacing w:val="1"/>
          <w:sz w:val="24"/>
          <w:szCs w:val="24"/>
          <w:highlight w:val="none"/>
        </w:rPr>
        <w:t>项目经理和项目总工要求：</w:t>
      </w:r>
    </w:p>
    <w:p w14:paraId="3F98813F">
      <w:pPr>
        <w:spacing w:line="360" w:lineRule="auto"/>
        <w:ind w:firstLine="484" w:firstLineChars="200"/>
        <w:rPr>
          <w:rFonts w:hint="eastAsia" w:ascii="宋体" w:hAnsi="宋体" w:cs="宋体"/>
          <w:spacing w:val="1"/>
          <w:sz w:val="24"/>
          <w:szCs w:val="24"/>
          <w:highlight w:val="none"/>
        </w:rPr>
      </w:pPr>
      <w:r>
        <w:rPr>
          <w:rFonts w:hint="eastAsia" w:ascii="宋体" w:hAnsi="宋体" w:cs="宋体"/>
          <w:spacing w:val="1"/>
          <w:sz w:val="24"/>
          <w:szCs w:val="24"/>
          <w:highlight w:val="none"/>
        </w:rPr>
        <w:t>A、项目经理：</w:t>
      </w:r>
    </w:p>
    <w:p w14:paraId="5CC81C09">
      <w:pPr>
        <w:adjustRightInd w:val="0"/>
        <w:snapToGrid w:val="0"/>
        <w:spacing w:line="360" w:lineRule="auto"/>
        <w:ind w:firstLine="480" w:firstLineChars="200"/>
        <w:jc w:val="left"/>
        <w:rPr>
          <w:rFonts w:hint="eastAsia" w:ascii="宋体" w:hAnsi="宋体"/>
          <w:sz w:val="24"/>
          <w:szCs w:val="24"/>
          <w:highlight w:val="none"/>
          <w:lang w:eastAsia="zh-CN"/>
        </w:rPr>
      </w:pPr>
      <w:r>
        <w:rPr>
          <w:rFonts w:hint="eastAsia" w:ascii="宋体" w:hAnsi="宋体"/>
          <w:sz w:val="24"/>
          <w:szCs w:val="24"/>
          <w:highlight w:val="none"/>
          <w:lang w:val="en-US" w:eastAsia="zh-CN"/>
        </w:rPr>
        <w:t>a、</w:t>
      </w:r>
      <w:r>
        <w:rPr>
          <w:rFonts w:hint="eastAsia" w:ascii="宋体" w:hAnsi="宋体"/>
          <w:sz w:val="24"/>
          <w:szCs w:val="24"/>
          <w:highlight w:val="none"/>
        </w:rPr>
        <w:t>拟派的项目经理具有有效的港口与航道工程专业一级注册建造师或水利水电工程专业二级（及以上）注册建造师</w:t>
      </w:r>
      <w:r>
        <w:rPr>
          <w:rFonts w:hint="eastAsia" w:ascii="宋体" w:hAnsi="宋体"/>
          <w:sz w:val="24"/>
          <w:szCs w:val="24"/>
          <w:highlight w:val="none"/>
          <w:lang w:eastAsia="zh-CN"/>
        </w:rPr>
        <w:t>；</w:t>
      </w:r>
      <w:r>
        <w:rPr>
          <w:rFonts w:hint="eastAsia" w:ascii="宋体" w:hAnsi="宋体"/>
          <w:sz w:val="24"/>
          <w:szCs w:val="24"/>
          <w:highlight w:val="none"/>
        </w:rPr>
        <w:t>具有交通行政主管部门核发的有效的《公路水运工程施工单位主要负责人、项目负责人和专职安全生产管理人员安全生产考核合格证书》（B证）或《公路水运工程施工企业主要负责人和安全生产管理人员安全生产考核合格证书》(B证)</w:t>
      </w:r>
      <w:r>
        <w:rPr>
          <w:rFonts w:hint="eastAsia" w:ascii="宋体" w:hAnsi="宋体"/>
          <w:sz w:val="24"/>
          <w:szCs w:val="24"/>
          <w:highlight w:val="none"/>
          <w:lang w:eastAsia="zh-CN"/>
        </w:rPr>
        <w:t>；</w:t>
      </w:r>
    </w:p>
    <w:p w14:paraId="7FCA8A16">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lang w:val="en-US" w:eastAsia="zh-CN"/>
        </w:rPr>
        <w:t>b</w:t>
      </w:r>
      <w:r>
        <w:rPr>
          <w:rFonts w:hint="eastAsia" w:ascii="宋体" w:hAnsi="宋体"/>
          <w:sz w:val="24"/>
          <w:szCs w:val="24"/>
          <w:highlight w:val="none"/>
        </w:rPr>
        <w:t>、拟派的项目经理担任过航道护岸工程施工项目的项目经理（或项目副经理或项目总工）。</w:t>
      </w:r>
    </w:p>
    <w:p w14:paraId="0DC79285">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注：《住房和城乡建设部办公厅关于全面实行一级建造师电子注册证书的通知》建办市〔2021〕40号文件规定：自2022年1月1日起，一级建造师统一使用电子证书，纸质注册证书作废；2022年1月1日起，一级建造师应重新刻制执业印章，并使用电子证书上的注册编号（注册编号的数字编码是16位）。本项目投标人拟投入项目负责人为一级建造师的，应在投标截止时间前更换好电子注册证书，并在投标截止时间前在江苏省交通运输招标投标信息管理系统中将项目负责人建造师电子注册证书信息进行备案。</w:t>
      </w:r>
    </w:p>
    <w:p w14:paraId="1B1722BC">
      <w:pPr>
        <w:spacing w:line="360" w:lineRule="auto"/>
        <w:ind w:firstLine="484" w:firstLineChars="200"/>
        <w:rPr>
          <w:rFonts w:hint="eastAsia" w:ascii="宋体" w:hAnsi="宋体" w:cs="宋体"/>
          <w:spacing w:val="1"/>
          <w:sz w:val="24"/>
          <w:szCs w:val="24"/>
          <w:highlight w:val="none"/>
        </w:rPr>
      </w:pPr>
      <w:r>
        <w:rPr>
          <w:rFonts w:hint="eastAsia" w:ascii="宋体" w:hAnsi="宋体" w:cs="宋体"/>
          <w:spacing w:val="1"/>
          <w:sz w:val="24"/>
          <w:szCs w:val="24"/>
          <w:highlight w:val="none"/>
        </w:rPr>
        <w:t>B、项目总工：</w:t>
      </w:r>
    </w:p>
    <w:p w14:paraId="32946F5C">
      <w:pPr>
        <w:spacing w:line="360" w:lineRule="auto"/>
        <w:ind w:firstLine="480" w:firstLineChars="200"/>
        <w:rPr>
          <w:rFonts w:hint="eastAsia" w:ascii="宋体" w:hAnsi="宋体" w:cs="宋体"/>
          <w:spacing w:val="1"/>
          <w:sz w:val="24"/>
          <w:szCs w:val="24"/>
          <w:highlight w:val="none"/>
        </w:rPr>
      </w:pPr>
      <w:r>
        <w:rPr>
          <w:rFonts w:hint="eastAsia" w:ascii="宋体" w:hAnsi="宋体"/>
          <w:sz w:val="24"/>
          <w:szCs w:val="24"/>
          <w:highlight w:val="none"/>
        </w:rPr>
        <w:t>拟派的</w:t>
      </w:r>
      <w:r>
        <w:rPr>
          <w:rFonts w:hint="eastAsia" w:ascii="宋体" w:hAnsi="宋体" w:cs="宋体"/>
          <w:spacing w:val="1"/>
          <w:sz w:val="24"/>
          <w:szCs w:val="24"/>
          <w:highlight w:val="none"/>
        </w:rPr>
        <w:t>项目总工具有工程师（或以上）技术职称。</w:t>
      </w:r>
    </w:p>
    <w:p w14:paraId="35E8D866">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C、拟派的项目经理、项目总工必须为投标单位正式人员，出具投标人为其缴纳的最近3个月</w:t>
      </w:r>
      <w:r>
        <w:rPr>
          <w:rFonts w:hint="eastAsia" w:ascii="宋体" w:hAnsi="宋体" w:cs="宋体"/>
          <w:sz w:val="24"/>
          <w:szCs w:val="24"/>
          <w:highlight w:val="none"/>
        </w:rPr>
        <w:t>（</w:t>
      </w:r>
      <w:r>
        <w:rPr>
          <w:rFonts w:ascii="宋体" w:hAnsi="宋体" w:cs="宋体"/>
          <w:sz w:val="24"/>
          <w:szCs w:val="24"/>
          <w:highlight w:val="none"/>
        </w:rPr>
        <w:t>2024年</w:t>
      </w:r>
      <w:r>
        <w:rPr>
          <w:rFonts w:hint="eastAsia" w:ascii="宋体" w:hAnsi="宋体" w:cs="宋体"/>
          <w:sz w:val="24"/>
          <w:szCs w:val="24"/>
          <w:highlight w:val="none"/>
          <w:lang w:val="en-US" w:eastAsia="zh-CN"/>
        </w:rPr>
        <w:t>7</w:t>
      </w:r>
      <w:r>
        <w:rPr>
          <w:rFonts w:hint="eastAsia" w:ascii="宋体" w:hAnsi="宋体" w:cs="宋体"/>
          <w:sz w:val="24"/>
          <w:szCs w:val="24"/>
          <w:highlight w:val="none"/>
        </w:rPr>
        <w:t>月</w:t>
      </w:r>
      <w:r>
        <w:rPr>
          <w:rFonts w:ascii="宋体" w:hAnsi="宋体" w:cs="宋体"/>
          <w:sz w:val="24"/>
          <w:szCs w:val="24"/>
          <w:highlight w:val="none"/>
        </w:rPr>
        <w:t>~2024年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月或</w:t>
      </w:r>
      <w:bookmarkStart w:id="5" w:name="_Hlk170289111"/>
      <w:bookmarkStart w:id="6" w:name="_Hlk168064706"/>
      <w:r>
        <w:rPr>
          <w:rFonts w:ascii="宋体" w:hAnsi="宋体" w:cs="宋体"/>
          <w:sz w:val="24"/>
          <w:szCs w:val="24"/>
          <w:highlight w:val="none"/>
        </w:rPr>
        <w:t>2024年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ascii="宋体" w:hAnsi="宋体" w:cs="宋体"/>
          <w:sz w:val="24"/>
          <w:szCs w:val="24"/>
          <w:highlight w:val="none"/>
        </w:rPr>
        <w:t>~2024年</w:t>
      </w:r>
      <w:r>
        <w:rPr>
          <w:rFonts w:hint="eastAsia" w:ascii="宋体" w:hAnsi="宋体" w:cs="宋体"/>
          <w:sz w:val="24"/>
          <w:szCs w:val="24"/>
          <w:highlight w:val="none"/>
          <w:lang w:val="en-US" w:eastAsia="zh-CN"/>
        </w:rPr>
        <w:t>10</w:t>
      </w:r>
      <w:r>
        <w:rPr>
          <w:rFonts w:hint="eastAsia" w:ascii="宋体" w:hAnsi="宋体" w:cs="宋体"/>
          <w:sz w:val="24"/>
          <w:szCs w:val="24"/>
          <w:highlight w:val="none"/>
        </w:rPr>
        <w:t>月</w:t>
      </w:r>
      <w:bookmarkEnd w:id="5"/>
      <w:bookmarkEnd w:id="6"/>
      <w:r>
        <w:rPr>
          <w:rFonts w:hint="eastAsia" w:ascii="宋体" w:hAnsi="宋体" w:cs="宋体"/>
          <w:sz w:val="24"/>
          <w:szCs w:val="24"/>
          <w:highlight w:val="none"/>
        </w:rPr>
        <w:t>或</w:t>
      </w:r>
      <w:r>
        <w:rPr>
          <w:rFonts w:ascii="宋体" w:hAnsi="宋体" w:cs="宋体"/>
          <w:sz w:val="24"/>
          <w:szCs w:val="24"/>
          <w:highlight w:val="none"/>
        </w:rPr>
        <w:t>2024年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ascii="宋体" w:hAnsi="宋体" w:cs="宋体"/>
          <w:sz w:val="24"/>
          <w:szCs w:val="24"/>
          <w:highlight w:val="none"/>
        </w:rPr>
        <w:t>~2024年</w:t>
      </w:r>
      <w:r>
        <w:rPr>
          <w:rFonts w:hint="eastAsia" w:ascii="宋体" w:hAnsi="宋体" w:cs="宋体"/>
          <w:sz w:val="24"/>
          <w:szCs w:val="24"/>
          <w:highlight w:val="none"/>
          <w:lang w:val="en-US" w:eastAsia="zh-CN"/>
        </w:rPr>
        <w:t>11</w:t>
      </w:r>
      <w:r>
        <w:rPr>
          <w:rFonts w:hint="eastAsia" w:ascii="宋体" w:hAnsi="宋体" w:cs="宋体"/>
          <w:sz w:val="24"/>
          <w:szCs w:val="24"/>
          <w:highlight w:val="none"/>
        </w:rPr>
        <w:t>月）</w:t>
      </w:r>
      <w:r>
        <w:rPr>
          <w:rFonts w:hint="eastAsia" w:ascii="宋体" w:hAnsi="宋体"/>
          <w:sz w:val="24"/>
          <w:szCs w:val="24"/>
          <w:highlight w:val="none"/>
        </w:rPr>
        <w:t>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14:paraId="043BFAF1">
      <w:pPr>
        <w:spacing w:line="360" w:lineRule="auto"/>
        <w:ind w:firstLine="484" w:firstLineChars="200"/>
        <w:jc w:val="left"/>
        <w:rPr>
          <w:rFonts w:hint="eastAsia" w:ascii="宋体" w:hAnsi="宋体" w:cs="宋体"/>
          <w:spacing w:val="1"/>
          <w:sz w:val="24"/>
          <w:szCs w:val="24"/>
          <w:highlight w:val="none"/>
        </w:rPr>
      </w:pPr>
      <w:r>
        <w:rPr>
          <w:rFonts w:hint="eastAsia" w:ascii="宋体" w:hAnsi="宋体" w:cs="宋体"/>
          <w:spacing w:val="1"/>
          <w:sz w:val="24"/>
          <w:szCs w:val="24"/>
          <w:highlight w:val="none"/>
        </w:rPr>
        <w:t>D、项目经理、项目总工均无在岗项目（指目前未在其他项目上任职，或虽在其他项目上任职但本项目中标后能够从该项目撤离）。投标人应在投标文件中提供中标后可以到岗的承诺书。</w:t>
      </w:r>
    </w:p>
    <w:p w14:paraId="7CDAFF2E">
      <w:pPr>
        <w:spacing w:line="360" w:lineRule="auto"/>
        <w:ind w:firstLine="484" w:firstLineChars="200"/>
        <w:jc w:val="left"/>
        <w:rPr>
          <w:rFonts w:hint="eastAsia" w:ascii="宋体" w:hAnsi="宋体" w:cs="宋体"/>
          <w:spacing w:val="1"/>
          <w:sz w:val="24"/>
          <w:szCs w:val="24"/>
          <w:highlight w:val="none"/>
        </w:rPr>
      </w:pPr>
      <w:r>
        <w:rPr>
          <w:rFonts w:hint="eastAsia" w:ascii="宋体" w:hAnsi="宋体" w:cs="宋体"/>
          <w:spacing w:val="1"/>
          <w:sz w:val="24"/>
          <w:szCs w:val="24"/>
          <w:highlight w:val="none"/>
        </w:rPr>
        <w:t>注：投标人拟投入的主要人员（项目经理、施工负责人和施工项目总工），有无在岗项目情况，按照下列原则认定：</w:t>
      </w:r>
    </w:p>
    <w:p w14:paraId="487A0B90">
      <w:pPr>
        <w:numPr>
          <w:ilvl w:val="0"/>
          <w:numId w:val="1"/>
        </w:numPr>
        <w:spacing w:line="360" w:lineRule="auto"/>
        <w:ind w:firstLine="484" w:firstLineChars="200"/>
        <w:jc w:val="left"/>
        <w:rPr>
          <w:rFonts w:hint="eastAsia" w:ascii="宋体" w:hAnsi="宋体" w:cs="宋体"/>
          <w:spacing w:val="1"/>
          <w:sz w:val="24"/>
          <w:szCs w:val="24"/>
          <w:highlight w:val="none"/>
        </w:rPr>
      </w:pPr>
      <w:r>
        <w:rPr>
          <w:rFonts w:hint="eastAsia" w:ascii="宋体" w:hAnsi="宋体" w:cs="宋体"/>
          <w:spacing w:val="1"/>
          <w:sz w:val="24"/>
          <w:szCs w:val="24"/>
          <w:highlight w:val="none"/>
        </w:rPr>
        <w:t>未在其他项目上作为主要人员（指施工项目的项目经理和项目总工，或设计施工总承包项目的项目经理、施工负责人和施工项目总工。下同）任职，或虽在其他项目上作为主要人员任职（包括在招标项目投标截止时间之前，投标人拟投入的主要人员在已发出的中标通知书或者签定合约的其他项目中作为主要人员的情况）、但在投标文件中提供了拟投入本项目中的主要人员在中标后可以从其他项目撤离的书面承诺，视为无在岗项目；</w:t>
      </w:r>
    </w:p>
    <w:p w14:paraId="0A6C91AC">
      <w:pPr>
        <w:spacing w:line="360" w:lineRule="auto"/>
        <w:ind w:firstLine="484" w:firstLineChars="200"/>
        <w:jc w:val="left"/>
        <w:rPr>
          <w:rFonts w:hint="eastAsia" w:ascii="宋体" w:hAnsi="宋体" w:cs="宋体"/>
          <w:spacing w:val="1"/>
          <w:sz w:val="24"/>
          <w:szCs w:val="24"/>
          <w:highlight w:val="none"/>
        </w:rPr>
      </w:pPr>
      <w:r>
        <w:rPr>
          <w:rFonts w:hint="eastAsia" w:ascii="宋体" w:hAnsi="宋体" w:cs="宋体"/>
          <w:spacing w:val="1"/>
          <w:sz w:val="24"/>
          <w:szCs w:val="24"/>
          <w:highlight w:val="none"/>
        </w:rPr>
        <w:t>B.投标人拟投入的主要人员在其他项目上作为主要人员任职，虽然项目尚未交工但符合下列情形之一、并在投标文件中提供一旦中标可以从其他项目上撤离的书面承诺，视为无在岗项目：</w:t>
      </w:r>
    </w:p>
    <w:p w14:paraId="06C74F0D">
      <w:pPr>
        <w:spacing w:line="360" w:lineRule="auto"/>
        <w:ind w:firstLine="484" w:firstLineChars="200"/>
        <w:jc w:val="left"/>
        <w:rPr>
          <w:rFonts w:hint="eastAsia" w:ascii="宋体" w:hAnsi="宋体" w:cs="宋体"/>
          <w:spacing w:val="1"/>
          <w:sz w:val="24"/>
          <w:szCs w:val="24"/>
          <w:highlight w:val="none"/>
        </w:rPr>
      </w:pPr>
      <w:r>
        <w:rPr>
          <w:rFonts w:hint="eastAsia" w:ascii="宋体" w:hAnsi="宋体" w:cs="宋体"/>
          <w:spacing w:val="1"/>
          <w:sz w:val="24"/>
          <w:szCs w:val="24"/>
          <w:highlight w:val="none"/>
        </w:rPr>
        <w:t>a.工程已经完工，经项目质量监督机构核验合格，主要人员基本完成职责，非投标人原因尚未进行交工验收的；</w:t>
      </w:r>
    </w:p>
    <w:p w14:paraId="0DC419AF">
      <w:pPr>
        <w:spacing w:line="360" w:lineRule="auto"/>
        <w:ind w:firstLine="484" w:firstLineChars="200"/>
        <w:jc w:val="left"/>
        <w:rPr>
          <w:rFonts w:hint="eastAsia" w:ascii="宋体" w:hAnsi="宋体"/>
          <w:sz w:val="24"/>
          <w:szCs w:val="24"/>
          <w:highlight w:val="none"/>
        </w:rPr>
      </w:pPr>
      <w:r>
        <w:rPr>
          <w:rFonts w:hint="eastAsia" w:ascii="宋体" w:hAnsi="宋体" w:cs="宋体"/>
          <w:spacing w:val="1"/>
          <w:sz w:val="24"/>
          <w:szCs w:val="24"/>
          <w:highlight w:val="none"/>
        </w:rPr>
        <w:t>b.工程中标后半年内非中标人原因无法开工或停工半年以上无法复工等情况。</w:t>
      </w:r>
    </w:p>
    <w:p w14:paraId="3A6EB935">
      <w:pPr>
        <w:numPr>
          <w:ilvl w:val="255"/>
          <w:numId w:val="0"/>
        </w:num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（5）专职安全员要求：</w:t>
      </w:r>
    </w:p>
    <w:p w14:paraId="2C205CEF">
      <w:pPr>
        <w:numPr>
          <w:ilvl w:val="255"/>
          <w:numId w:val="0"/>
        </w:num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投标人拟投入本项目专职安全员不少于1人，专职安全员具有交通运输主管部门核发的有效的《公路水运工程施工单位主要负责人、项目负责人和专职安全生产管理人员安全生产考核合格证书》(C证)或《公路水运工程施工企业主要负责人和安全生产管理人员安全生产考核合格证书》(C证)。</w:t>
      </w:r>
    </w:p>
    <w:p w14:paraId="0E734439">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拟投入本项目的专职安全员必须为投标单位自有人员，出具投标人为其缴纳的最近3个月</w:t>
      </w:r>
      <w:r>
        <w:rPr>
          <w:rFonts w:hint="eastAsia" w:ascii="宋体" w:hAnsi="宋体" w:cs="宋体"/>
          <w:sz w:val="24"/>
          <w:szCs w:val="24"/>
          <w:highlight w:val="none"/>
        </w:rPr>
        <w:t>（</w:t>
      </w:r>
      <w:r>
        <w:rPr>
          <w:rFonts w:ascii="宋体" w:hAnsi="宋体" w:cs="宋体"/>
          <w:sz w:val="24"/>
          <w:szCs w:val="24"/>
          <w:highlight w:val="none"/>
        </w:rPr>
        <w:t>2024年</w:t>
      </w:r>
      <w:r>
        <w:rPr>
          <w:rFonts w:hint="eastAsia" w:ascii="宋体" w:hAnsi="宋体" w:cs="宋体"/>
          <w:sz w:val="24"/>
          <w:szCs w:val="24"/>
          <w:highlight w:val="none"/>
          <w:lang w:val="en-US" w:eastAsia="zh-CN"/>
        </w:rPr>
        <w:t>7</w:t>
      </w:r>
      <w:r>
        <w:rPr>
          <w:rFonts w:hint="eastAsia" w:ascii="宋体" w:hAnsi="宋体" w:cs="宋体"/>
          <w:sz w:val="24"/>
          <w:szCs w:val="24"/>
          <w:highlight w:val="none"/>
        </w:rPr>
        <w:t>月</w:t>
      </w:r>
      <w:r>
        <w:rPr>
          <w:rFonts w:ascii="宋体" w:hAnsi="宋体" w:cs="宋体"/>
          <w:sz w:val="24"/>
          <w:szCs w:val="24"/>
          <w:highlight w:val="none"/>
        </w:rPr>
        <w:t>~2024年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月或</w:t>
      </w:r>
      <w:r>
        <w:rPr>
          <w:rFonts w:ascii="宋体" w:hAnsi="宋体" w:cs="宋体"/>
          <w:sz w:val="24"/>
          <w:szCs w:val="24"/>
          <w:highlight w:val="none"/>
        </w:rPr>
        <w:t>2024年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ascii="宋体" w:hAnsi="宋体" w:cs="宋体"/>
          <w:sz w:val="24"/>
          <w:szCs w:val="24"/>
          <w:highlight w:val="none"/>
        </w:rPr>
        <w:t>~2024年</w:t>
      </w:r>
      <w:r>
        <w:rPr>
          <w:rFonts w:hint="eastAsia" w:ascii="宋体" w:hAnsi="宋体" w:cs="宋体"/>
          <w:sz w:val="24"/>
          <w:szCs w:val="24"/>
          <w:highlight w:val="none"/>
          <w:lang w:val="en-US" w:eastAsia="zh-CN"/>
        </w:rPr>
        <w:t>10</w:t>
      </w:r>
      <w:r>
        <w:rPr>
          <w:rFonts w:hint="eastAsia" w:ascii="宋体" w:hAnsi="宋体" w:cs="宋体"/>
          <w:sz w:val="24"/>
          <w:szCs w:val="24"/>
          <w:highlight w:val="none"/>
        </w:rPr>
        <w:t>月或</w:t>
      </w:r>
      <w:r>
        <w:rPr>
          <w:rFonts w:ascii="宋体" w:hAnsi="宋体" w:cs="宋体"/>
          <w:sz w:val="24"/>
          <w:szCs w:val="24"/>
          <w:highlight w:val="none"/>
        </w:rPr>
        <w:t>2024年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ascii="宋体" w:hAnsi="宋体" w:cs="宋体"/>
          <w:sz w:val="24"/>
          <w:szCs w:val="24"/>
          <w:highlight w:val="none"/>
        </w:rPr>
        <w:t>~2024年</w:t>
      </w:r>
      <w:r>
        <w:rPr>
          <w:rFonts w:hint="eastAsia" w:ascii="宋体" w:hAnsi="宋体" w:cs="宋体"/>
          <w:sz w:val="24"/>
          <w:szCs w:val="24"/>
          <w:highlight w:val="none"/>
          <w:lang w:val="en-US" w:eastAsia="zh-CN"/>
        </w:rPr>
        <w:t>11</w:t>
      </w:r>
      <w:r>
        <w:rPr>
          <w:rFonts w:hint="eastAsia" w:ascii="宋体" w:hAnsi="宋体" w:cs="宋体"/>
          <w:sz w:val="24"/>
          <w:szCs w:val="24"/>
          <w:highlight w:val="none"/>
        </w:rPr>
        <w:t>月）</w:t>
      </w:r>
      <w:r>
        <w:rPr>
          <w:rFonts w:hint="eastAsia" w:ascii="宋体" w:hAnsi="宋体"/>
          <w:sz w:val="24"/>
          <w:szCs w:val="24"/>
          <w:highlight w:val="none"/>
        </w:rPr>
        <w:t>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14:paraId="66BE0353">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xml:space="preserve">.2 </w:t>
      </w:r>
      <w:r>
        <w:rPr>
          <w:rFonts w:hint="eastAsia" w:ascii="宋体" w:hAnsi="宋体"/>
          <w:sz w:val="24"/>
          <w:szCs w:val="24"/>
          <w:highlight w:val="none"/>
        </w:rPr>
        <w:t>本次招标不接受联合体投标。</w:t>
      </w:r>
      <w:r>
        <w:rPr>
          <w:rFonts w:hint="eastAsia" w:ascii="宋体" w:hAnsi="宋体"/>
          <w:sz w:val="24"/>
          <w:szCs w:val="24"/>
          <w:highlight w:val="none"/>
        </w:rPr>
        <w:tab/>
      </w:r>
    </w:p>
    <w:p w14:paraId="4BD8BBA1">
      <w:pPr>
        <w:adjustRightInd w:val="0"/>
        <w:snapToGrid w:val="0"/>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w:t>
      </w:r>
      <w:r>
        <w:rPr>
          <w:rFonts w:hint="eastAsia" w:ascii="宋体" w:hAnsi="宋体"/>
          <w:sz w:val="24"/>
          <w:szCs w:val="24"/>
          <w:highlight w:val="none"/>
        </w:rPr>
        <w:t>3与招标人存在利害关系可能影响招标公正性的单位，不得参加投标。单位负责人为同一人或存在控股、管理关系的不同单位，不得参加同一标段投标，否则，相关投标均无效。</w:t>
      </w:r>
    </w:p>
    <w:bookmarkEnd w:id="3"/>
    <w:bookmarkEnd w:id="4"/>
    <w:p w14:paraId="2BE059F1">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4.招标文件的获取</w:t>
      </w:r>
    </w:p>
    <w:p w14:paraId="643CA1F0">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4.1申请</w:t>
      </w:r>
    </w:p>
    <w:p w14:paraId="5F2728A5">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申请时间：自本公告上网发布之日起至</w:t>
      </w:r>
      <w:r>
        <w:rPr>
          <w:rFonts w:hint="eastAsia" w:ascii="宋体" w:hAnsi="宋体" w:cs="Microsoft JhengHei Light"/>
          <w:b/>
          <w:bCs/>
          <w:sz w:val="24"/>
          <w:szCs w:val="24"/>
          <w:highlight w:val="none"/>
        </w:rPr>
        <w:t>2024年</w:t>
      </w:r>
      <w:r>
        <w:rPr>
          <w:rFonts w:hint="eastAsia" w:ascii="宋体" w:hAnsi="宋体" w:cs="Microsoft JhengHei Light"/>
          <w:b/>
          <w:bCs/>
          <w:sz w:val="24"/>
          <w:szCs w:val="24"/>
          <w:highlight w:val="none"/>
          <w:lang w:val="en-US" w:eastAsia="zh-CN"/>
        </w:rPr>
        <w:t>11</w:t>
      </w:r>
      <w:r>
        <w:rPr>
          <w:rFonts w:hint="eastAsia" w:ascii="宋体" w:hAnsi="宋体" w:cs="Microsoft JhengHei Light"/>
          <w:b/>
          <w:bCs/>
          <w:sz w:val="24"/>
          <w:szCs w:val="24"/>
          <w:highlight w:val="none"/>
        </w:rPr>
        <w:t>月</w:t>
      </w:r>
      <w:r>
        <w:rPr>
          <w:rFonts w:hint="eastAsia" w:ascii="宋体" w:hAnsi="宋体" w:cs="Microsoft JhengHei Light"/>
          <w:b/>
          <w:bCs/>
          <w:sz w:val="24"/>
          <w:szCs w:val="24"/>
          <w:highlight w:val="none"/>
          <w:lang w:val="en-US" w:eastAsia="zh-CN"/>
        </w:rPr>
        <w:t>18</w:t>
      </w:r>
      <w:r>
        <w:rPr>
          <w:rFonts w:hint="eastAsia" w:ascii="宋体" w:hAnsi="宋体" w:cs="Microsoft JhengHei Light"/>
          <w:b/>
          <w:bCs/>
          <w:sz w:val="24"/>
          <w:szCs w:val="24"/>
          <w:highlight w:val="none"/>
        </w:rPr>
        <w:t>日</w:t>
      </w:r>
      <w:r>
        <w:rPr>
          <w:rFonts w:hint="eastAsia" w:ascii="宋体" w:hAnsi="宋体" w:cs="Microsoft JhengHei Light"/>
          <w:sz w:val="24"/>
          <w:szCs w:val="24"/>
          <w:highlight w:val="none"/>
        </w:rPr>
        <w:t>，每日工作时间：上午9:00至11:30整，下午13:30至17:30整（北京时间，双休、节假日除外）。</w:t>
      </w:r>
    </w:p>
    <w:p w14:paraId="5ACFC27D">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申请方式：凡符合资格要求并有意愿参加本项目的投标人，请如实填写《申请函》（格式见本项目公告附件）并加盖公章，发彩色扫描件至邮箱（jsrzcnt@126.com）中，并致电招标代理确认邮件送达，确认申请是否成功，并在开标现场将申请函原件同响应文件一并递交。</w:t>
      </w:r>
    </w:p>
    <w:p w14:paraId="0817BC18">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招标代理联系人：赵工，联系电话：15851317775。</w:t>
      </w:r>
    </w:p>
    <w:p w14:paraId="1A2811C6">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4.2 获取招标文件</w:t>
      </w:r>
    </w:p>
    <w:p w14:paraId="7C907064">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各申请人到招标代理单位自行领取纸质招标文件或由招标代理单位邮寄纸质文件给各申请人。</w:t>
      </w:r>
    </w:p>
    <w:p w14:paraId="5809E69C">
      <w:pPr>
        <w:tabs>
          <w:tab w:val="left" w:pos="4120"/>
          <w:tab w:val="left" w:pos="7140"/>
        </w:tabs>
        <w:adjustRightInd w:val="0"/>
        <w:snapToGrid w:val="0"/>
        <w:spacing w:line="360" w:lineRule="auto"/>
        <w:ind w:firstLine="480" w:firstLineChars="200"/>
        <w:rPr>
          <w:rFonts w:ascii="宋体" w:hAnsi="宋体" w:cs="Microsoft JhengHei Light"/>
          <w:sz w:val="24"/>
          <w:szCs w:val="24"/>
          <w:highlight w:val="none"/>
        </w:rPr>
      </w:pPr>
      <w:r>
        <w:rPr>
          <w:rFonts w:hint="eastAsia" w:ascii="宋体" w:hAnsi="宋体" w:cs="Microsoft JhengHei Light"/>
          <w:sz w:val="24"/>
          <w:szCs w:val="24"/>
          <w:highlight w:val="none"/>
        </w:rPr>
        <w:t>4.3 招标文件每套售价300元，售后不退</w:t>
      </w:r>
      <w:r>
        <w:rPr>
          <w:rFonts w:ascii="宋体" w:hAnsi="宋体" w:cs="Microsoft JhengHei Light"/>
          <w:sz w:val="24"/>
          <w:szCs w:val="24"/>
          <w:highlight w:val="none"/>
        </w:rPr>
        <w:t>。</w:t>
      </w:r>
    </w:p>
    <w:p w14:paraId="646F5CE4">
      <w:pPr>
        <w:tabs>
          <w:tab w:val="left" w:pos="4120"/>
          <w:tab w:val="left" w:pos="714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注：未按上述要求进行</w:t>
      </w:r>
      <w:r>
        <w:rPr>
          <w:rFonts w:hint="eastAsia" w:ascii="宋体" w:hAnsi="宋体" w:cs="Microsoft JhengHei Light"/>
          <w:sz w:val="24"/>
          <w:szCs w:val="24"/>
          <w:highlight w:val="none"/>
          <w:lang w:val="en-US" w:eastAsia="zh-CN"/>
        </w:rPr>
        <w:t>申请</w:t>
      </w:r>
      <w:r>
        <w:rPr>
          <w:rFonts w:hint="eastAsia" w:ascii="宋体" w:hAnsi="宋体" w:cs="Microsoft JhengHei Light"/>
          <w:sz w:val="24"/>
          <w:szCs w:val="24"/>
          <w:highlight w:val="none"/>
        </w:rPr>
        <w:t>及支付招标文件费用的，视为放弃本项目投标。</w:t>
      </w:r>
    </w:p>
    <w:p w14:paraId="75FC56C1">
      <w:pPr>
        <w:numPr>
          <w:ilvl w:val="0"/>
          <w:numId w:val="0"/>
        </w:num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eastAsia="宋体" w:cs="Microsoft JhengHei Light"/>
          <w:kern w:val="2"/>
          <w:sz w:val="24"/>
          <w:szCs w:val="24"/>
          <w:highlight w:val="none"/>
          <w:lang w:val="en-US" w:eastAsia="zh-CN" w:bidi="ar-SA"/>
        </w:rPr>
        <w:t>5.</w:t>
      </w:r>
      <w:r>
        <w:rPr>
          <w:rFonts w:hint="eastAsia" w:ascii="宋体" w:hAnsi="宋体" w:cs="Microsoft JhengHei Light"/>
          <w:sz w:val="24"/>
          <w:szCs w:val="24"/>
          <w:highlight w:val="none"/>
        </w:rPr>
        <w:t>投标文件的递交及相关事宜</w:t>
      </w:r>
    </w:p>
    <w:p w14:paraId="5AF169A4">
      <w:pPr>
        <w:numPr>
          <w:ilvl w:val="0"/>
          <w:numId w:val="0"/>
        </w:numPr>
        <w:adjustRightInd w:val="0"/>
        <w:snapToGrid w:val="0"/>
        <w:spacing w:line="360" w:lineRule="auto"/>
        <w:ind w:firstLine="480" w:firstLineChars="200"/>
        <w:rPr>
          <w:rFonts w:hint="eastAsia" w:ascii="宋体" w:hAnsi="宋体" w:cs="Microsoft JhengHei Light"/>
          <w:sz w:val="24"/>
          <w:szCs w:val="24"/>
          <w:highlight w:val="none"/>
          <w:lang w:val="en-US" w:eastAsia="zh-CN"/>
        </w:rPr>
      </w:pPr>
      <w:r>
        <w:rPr>
          <w:rFonts w:hint="eastAsia" w:ascii="宋体" w:hAnsi="宋体" w:cs="Microsoft JhengHei Light"/>
          <w:sz w:val="24"/>
          <w:szCs w:val="24"/>
          <w:highlight w:val="none"/>
          <w:lang w:val="en-US" w:eastAsia="zh-CN"/>
        </w:rPr>
        <w:t>5.1投标文件递交的截止时间（投标截止时间，下同）为</w:t>
      </w:r>
      <w:r>
        <w:rPr>
          <w:rFonts w:hint="eastAsia" w:ascii="宋体" w:hAnsi="宋体" w:cs="Microsoft JhengHei Light"/>
          <w:b/>
          <w:bCs/>
          <w:sz w:val="24"/>
          <w:szCs w:val="24"/>
          <w:highlight w:val="none"/>
          <w:lang w:val="en-US" w:eastAsia="zh-CN"/>
        </w:rPr>
        <w:t>2024年12月2日14时30分</w:t>
      </w:r>
      <w:r>
        <w:rPr>
          <w:rFonts w:hint="eastAsia" w:ascii="宋体" w:hAnsi="宋体" w:cs="Microsoft JhengHei Light"/>
          <w:sz w:val="24"/>
          <w:szCs w:val="24"/>
          <w:highlight w:val="none"/>
          <w:lang w:val="en-US" w:eastAsia="zh-CN"/>
        </w:rPr>
        <w:t>，地点为</w:t>
      </w:r>
      <w:r>
        <w:rPr>
          <w:rFonts w:hint="eastAsia" w:ascii="宋体" w:hAnsi="宋体" w:cs="Microsoft JhengHei Light"/>
          <w:b/>
          <w:bCs/>
          <w:sz w:val="24"/>
          <w:szCs w:val="24"/>
          <w:highlight w:val="none"/>
          <w:lang w:val="en-US" w:eastAsia="zh-CN"/>
        </w:rPr>
        <w:t>南通市崇川区鸿运城市花苑18栋</w:t>
      </w:r>
      <w:r>
        <w:rPr>
          <w:rFonts w:hint="eastAsia" w:ascii="宋体" w:hAnsi="宋体" w:cs="Microsoft JhengHei Light"/>
          <w:sz w:val="24"/>
          <w:szCs w:val="24"/>
          <w:highlight w:val="none"/>
          <w:lang w:val="en-US" w:eastAsia="zh-CN"/>
        </w:rPr>
        <w:t>。</w:t>
      </w:r>
    </w:p>
    <w:p w14:paraId="368239A8">
      <w:pPr>
        <w:spacing w:line="360" w:lineRule="auto"/>
        <w:ind w:firstLine="482" w:firstLineChars="200"/>
        <w:jc w:val="left"/>
        <w:rPr>
          <w:rFonts w:hint="eastAsia" w:ascii="宋体" w:hAnsi="宋体" w:eastAsia="宋体" w:cs="宋体"/>
          <w:b/>
          <w:bCs/>
          <w:sz w:val="24"/>
          <w:szCs w:val="24"/>
          <w:highlight w:val="none"/>
          <w14:ligatures w14:val="none"/>
        </w:rPr>
      </w:pPr>
      <w:r>
        <w:rPr>
          <w:rFonts w:hint="eastAsia" w:ascii="宋体" w:hAnsi="宋体" w:eastAsia="宋体" w:cs="宋体"/>
          <w:b/>
          <w:bCs/>
          <w:sz w:val="24"/>
          <w:szCs w:val="24"/>
          <w:highlight w:val="none"/>
          <w14:ligatures w14:val="none"/>
        </w:rPr>
        <w:t>以上时间均为北京时间。</w:t>
      </w:r>
    </w:p>
    <w:p w14:paraId="5735379D">
      <w:pPr>
        <w:tabs>
          <w:tab w:val="left" w:pos="3100"/>
          <w:tab w:val="left" w:pos="3460"/>
          <w:tab w:val="left" w:pos="3700"/>
          <w:tab w:val="left" w:pos="4060"/>
          <w:tab w:val="left" w:pos="4300"/>
          <w:tab w:val="left" w:pos="4900"/>
          <w:tab w:val="left" w:pos="8025"/>
          <w:tab w:val="left" w:pos="8260"/>
          <w:tab w:val="left" w:pos="8500"/>
        </w:tabs>
        <w:adjustRightInd w:val="0"/>
        <w:snapToGrid w:val="0"/>
        <w:spacing w:line="360" w:lineRule="auto"/>
        <w:ind w:firstLine="480" w:firstLineChars="200"/>
        <w:rPr>
          <w:rFonts w:ascii="宋体" w:hAnsi="宋体" w:cs="Microsoft JhengHei Light"/>
          <w:sz w:val="24"/>
          <w:szCs w:val="24"/>
          <w:highlight w:val="none"/>
        </w:rPr>
      </w:pPr>
      <w:r>
        <w:rPr>
          <w:rFonts w:hint="eastAsia" w:ascii="宋体" w:hAnsi="宋体" w:cs="Microsoft JhengHei Light"/>
          <w:sz w:val="24"/>
          <w:szCs w:val="24"/>
          <w:highlight w:val="none"/>
          <w:lang w:val="en-US" w:eastAsia="zh-CN"/>
        </w:rPr>
        <w:t xml:space="preserve">5.2 </w:t>
      </w:r>
      <w:r>
        <w:rPr>
          <w:rFonts w:hint="eastAsia" w:ascii="宋体" w:hAnsi="宋体" w:cs="Microsoft JhengHei Light"/>
          <w:sz w:val="24"/>
          <w:szCs w:val="24"/>
          <w:highlight w:val="none"/>
        </w:rPr>
        <w:t>招标人不组织现场考察，投标人</w:t>
      </w:r>
      <w:r>
        <w:rPr>
          <w:rFonts w:hint="eastAsia" w:ascii="宋体" w:hAnsi="宋体" w:cs="Microsoft JhengHei Light"/>
          <w:sz w:val="24"/>
          <w:szCs w:val="24"/>
          <w:highlight w:val="none"/>
          <w:lang w:val="en-US" w:eastAsia="zh-CN"/>
        </w:rPr>
        <w:t>须自行</w:t>
      </w:r>
      <w:r>
        <w:rPr>
          <w:rFonts w:hint="eastAsia" w:ascii="宋体" w:hAnsi="宋体" w:cs="Microsoft JhengHei Light"/>
          <w:sz w:val="24"/>
          <w:szCs w:val="24"/>
          <w:highlight w:val="none"/>
        </w:rPr>
        <w:t>进行现场考察，考察费用由投标人自理，安全自负</w:t>
      </w:r>
      <w:r>
        <w:rPr>
          <w:rFonts w:ascii="宋体" w:hAnsi="宋体" w:cs="Microsoft JhengHei Light"/>
          <w:sz w:val="24"/>
          <w:szCs w:val="24"/>
          <w:highlight w:val="none"/>
        </w:rPr>
        <w:t>；</w:t>
      </w:r>
    </w:p>
    <w:p w14:paraId="1FB0FD5B">
      <w:pPr>
        <w:tabs>
          <w:tab w:val="left" w:pos="3100"/>
          <w:tab w:val="left" w:pos="3460"/>
          <w:tab w:val="left" w:pos="3700"/>
          <w:tab w:val="left" w:pos="4060"/>
          <w:tab w:val="left" w:pos="4300"/>
          <w:tab w:val="left" w:pos="4900"/>
          <w:tab w:val="left" w:pos="8025"/>
          <w:tab w:val="left" w:pos="8260"/>
          <w:tab w:val="left" w:pos="8500"/>
        </w:tabs>
        <w:adjustRightInd w:val="0"/>
        <w:snapToGrid w:val="0"/>
        <w:spacing w:line="360" w:lineRule="auto"/>
        <w:ind w:firstLine="480" w:firstLineChars="200"/>
        <w:rPr>
          <w:rFonts w:hint="eastAsia" w:ascii="宋体" w:hAnsi="宋体" w:cs="Microsoft JhengHei Light"/>
          <w:sz w:val="24"/>
          <w:szCs w:val="24"/>
          <w:highlight w:val="none"/>
          <w:lang w:val="en-US" w:eastAsia="zh-CN"/>
        </w:rPr>
      </w:pPr>
      <w:r>
        <w:rPr>
          <w:rFonts w:hint="eastAsia" w:ascii="宋体" w:hAnsi="宋体" w:cs="Microsoft JhengHei Light"/>
          <w:sz w:val="24"/>
          <w:szCs w:val="24"/>
          <w:highlight w:val="none"/>
          <w:lang w:val="en-US" w:eastAsia="zh-CN"/>
        </w:rPr>
        <w:t>5.3 投标人应派其法定代表人（或其授权代理人）携带本人有效身份证原件准时出席开标会，自觉服从和配合现场工作人员的检查。投标人未派遣法定代表人或其授权代理人参与开标会的，视为默认开标结果。</w:t>
      </w:r>
    </w:p>
    <w:p w14:paraId="1DA98BD2">
      <w:pPr>
        <w:tabs>
          <w:tab w:val="left" w:pos="3100"/>
          <w:tab w:val="left" w:pos="3460"/>
          <w:tab w:val="left" w:pos="3700"/>
          <w:tab w:val="left" w:pos="4060"/>
          <w:tab w:val="left" w:pos="4300"/>
          <w:tab w:val="left" w:pos="4900"/>
          <w:tab w:val="left" w:pos="8025"/>
          <w:tab w:val="left" w:pos="8260"/>
          <w:tab w:val="left" w:pos="8500"/>
        </w:tabs>
        <w:adjustRightInd w:val="0"/>
        <w:snapToGrid w:val="0"/>
        <w:spacing w:line="360" w:lineRule="auto"/>
        <w:ind w:firstLine="480" w:firstLineChars="200"/>
        <w:rPr>
          <w:rFonts w:hint="default" w:ascii="宋体" w:hAnsi="宋体" w:cs="Microsoft JhengHei Light"/>
          <w:sz w:val="24"/>
          <w:szCs w:val="24"/>
          <w:highlight w:val="none"/>
          <w:lang w:val="en-US" w:eastAsia="zh-CN"/>
        </w:rPr>
      </w:pPr>
      <w:r>
        <w:rPr>
          <w:rFonts w:hint="eastAsia" w:ascii="宋体" w:hAnsi="宋体" w:cs="Microsoft JhengHei Light"/>
          <w:sz w:val="24"/>
          <w:szCs w:val="24"/>
          <w:highlight w:val="none"/>
          <w:lang w:val="en-US" w:eastAsia="zh-CN"/>
        </w:rPr>
        <w:t>5.4 本次投标文件的开标等事宜，由招标人（代理单位）在相关纪检人员的监督下统一完成。如开标过程中对开标过程有质疑的，请于开标过程中提出，如无投标人提出异议，视同默认开标过程及结果。</w:t>
      </w:r>
    </w:p>
    <w:p w14:paraId="063621C2">
      <w:pPr>
        <w:adjustRightInd w:val="0"/>
        <w:snapToGrid w:val="0"/>
        <w:spacing w:line="360" w:lineRule="auto"/>
        <w:ind w:firstLine="480" w:firstLineChars="200"/>
        <w:rPr>
          <w:rFonts w:hint="eastAsia" w:ascii="宋体" w:hAnsi="宋体" w:cs="Microsoft JhengHei Light"/>
          <w:sz w:val="24"/>
          <w:szCs w:val="24"/>
          <w:highlight w:val="none"/>
        </w:rPr>
      </w:pPr>
      <w:r>
        <w:rPr>
          <w:rFonts w:ascii="宋体" w:hAnsi="宋体" w:cs="Microsoft JhengHei Light"/>
          <w:sz w:val="24"/>
          <w:szCs w:val="24"/>
          <w:highlight w:val="none"/>
        </w:rPr>
        <w:t>6．发布公告的媒介</w:t>
      </w:r>
    </w:p>
    <w:p w14:paraId="36D58141">
      <w:pPr>
        <w:tabs>
          <w:tab w:val="left" w:pos="4120"/>
        </w:tabs>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position w:val="-3"/>
          <w:sz w:val="24"/>
          <w:szCs w:val="24"/>
          <w:highlight w:val="none"/>
        </w:rPr>
        <w:t>本次招标公告同时在南通市交通运输局网站（http://jtysj.nantong.gov.cn/）上。南通市交通运输局网站是本项目招标公告、招标文件澄清、中标公示等招标信息约定的唯一公开发布媒介</w:t>
      </w:r>
      <w:r>
        <w:rPr>
          <w:rFonts w:ascii="宋体" w:hAnsi="宋体" w:cs="Microsoft JhengHei Light"/>
          <w:position w:val="-3"/>
          <w:sz w:val="24"/>
          <w:szCs w:val="24"/>
          <w:highlight w:val="none"/>
        </w:rPr>
        <w:t>。</w:t>
      </w:r>
    </w:p>
    <w:p w14:paraId="47885C12">
      <w:pPr>
        <w:tabs>
          <w:tab w:val="left" w:pos="4120"/>
        </w:tabs>
        <w:adjustRightInd w:val="0"/>
        <w:snapToGrid w:val="0"/>
        <w:spacing w:line="360" w:lineRule="auto"/>
        <w:ind w:firstLine="480" w:firstLineChars="200"/>
        <w:rPr>
          <w:rFonts w:hint="eastAsia" w:ascii="宋体" w:hAnsi="宋体" w:cs="Microsoft JhengHei Light"/>
          <w:sz w:val="24"/>
          <w:szCs w:val="24"/>
          <w:highlight w:val="none"/>
        </w:rPr>
      </w:pPr>
      <w:r>
        <w:rPr>
          <w:rFonts w:ascii="宋体" w:hAnsi="宋体" w:cs="Microsoft JhengHei Light"/>
          <w:sz w:val="24"/>
          <w:szCs w:val="24"/>
          <w:highlight w:val="none"/>
        </w:rPr>
        <w:t>7. 联系方式</w:t>
      </w:r>
    </w:p>
    <w:p w14:paraId="1A8585C7">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招标人：南通市港航事业发展中心</w:t>
      </w:r>
    </w:p>
    <w:p w14:paraId="2EEB9516">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 xml:space="preserve">地  址：启东市汇龙镇银河路8号 </w:t>
      </w:r>
    </w:p>
    <w:p w14:paraId="1E1527BF">
      <w:pPr>
        <w:adjustRightInd w:val="0"/>
        <w:snapToGrid w:val="0"/>
        <w:spacing w:line="360" w:lineRule="auto"/>
        <w:ind w:firstLine="480" w:firstLineChars="200"/>
        <w:rPr>
          <w:rFonts w:hint="eastAsia" w:ascii="宋体" w:hAnsi="宋体" w:cs="Microsoft JhengHei Light"/>
          <w:sz w:val="24"/>
          <w:szCs w:val="24"/>
          <w:highlight w:val="none"/>
          <w:lang w:val="en-US" w:eastAsia="zh-CN"/>
        </w:rPr>
      </w:pPr>
      <w:r>
        <w:rPr>
          <w:rFonts w:hint="eastAsia" w:ascii="宋体" w:hAnsi="宋体" w:cs="Microsoft JhengHei Light"/>
          <w:sz w:val="24"/>
          <w:szCs w:val="24"/>
          <w:highlight w:val="none"/>
        </w:rPr>
        <w:t>联 系 人：</w:t>
      </w:r>
      <w:r>
        <w:rPr>
          <w:rFonts w:hint="eastAsia" w:ascii="宋体" w:hAnsi="宋体" w:cs="Microsoft JhengHei Light"/>
          <w:sz w:val="24"/>
          <w:szCs w:val="24"/>
          <w:highlight w:val="none"/>
          <w:lang w:val="en-US" w:eastAsia="zh-CN"/>
        </w:rPr>
        <w:t>秦飞</w:t>
      </w:r>
      <w:bookmarkStart w:id="145" w:name="_GoBack"/>
      <w:bookmarkEnd w:id="145"/>
    </w:p>
    <w:p w14:paraId="404D57B3">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 xml:space="preserve">电   话： 0513-83312751 </w:t>
      </w:r>
    </w:p>
    <w:p w14:paraId="62BD15AD">
      <w:pPr>
        <w:adjustRightInd w:val="0"/>
        <w:snapToGrid w:val="0"/>
        <w:spacing w:line="360" w:lineRule="auto"/>
        <w:ind w:firstLine="480" w:firstLineChars="200"/>
        <w:rPr>
          <w:rFonts w:hint="eastAsia" w:ascii="宋体" w:hAnsi="宋体" w:cs="Microsoft JhengHei Light"/>
          <w:sz w:val="24"/>
          <w:szCs w:val="24"/>
          <w:highlight w:val="none"/>
        </w:rPr>
      </w:pPr>
    </w:p>
    <w:p w14:paraId="7230276E">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招标代理：江苏睿致诚工程咨询有限公司</w:t>
      </w:r>
    </w:p>
    <w:p w14:paraId="38A82C95">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地址：南京市江宁区江南路697号金轮星际中心A1栋7楼</w:t>
      </w:r>
    </w:p>
    <w:p w14:paraId="1B5D515B">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电话：18932207883（陈小龙）、13814662273（周天豪）</w:t>
      </w:r>
    </w:p>
    <w:p w14:paraId="7A9FCDF4">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联系人：陈小龙、周天豪</w:t>
      </w:r>
    </w:p>
    <w:p w14:paraId="61BAA4E4">
      <w:pPr>
        <w:adjustRightInd w:val="0"/>
        <w:snapToGrid w:val="0"/>
        <w:spacing w:line="360" w:lineRule="auto"/>
        <w:ind w:firstLine="480" w:firstLineChars="200"/>
        <w:rPr>
          <w:rFonts w:hint="eastAsia" w:ascii="宋体" w:hAnsi="宋体" w:cs="Microsoft JhengHei Light"/>
          <w:sz w:val="24"/>
          <w:szCs w:val="24"/>
          <w:highlight w:val="none"/>
        </w:rPr>
      </w:pPr>
      <w:r>
        <w:rPr>
          <w:rFonts w:hint="eastAsia" w:ascii="宋体" w:hAnsi="宋体" w:cs="Microsoft JhengHei Light"/>
          <w:sz w:val="24"/>
          <w:szCs w:val="24"/>
          <w:highlight w:val="none"/>
        </w:rPr>
        <w:t>Email：</w:t>
      </w:r>
      <w:r>
        <w:rPr>
          <w:rFonts w:ascii="宋体" w:hAnsi="宋体" w:cs="Microsoft JhengHei Light"/>
          <w:sz w:val="24"/>
          <w:szCs w:val="24"/>
          <w:highlight w:val="none"/>
        </w:rPr>
        <w:t>jsrzcnt@</w:t>
      </w:r>
      <w:r>
        <w:rPr>
          <w:rFonts w:hint="eastAsia" w:ascii="宋体" w:hAnsi="宋体" w:cs="Microsoft JhengHei Light"/>
          <w:sz w:val="24"/>
          <w:szCs w:val="24"/>
          <w:highlight w:val="none"/>
        </w:rPr>
        <w:t>126</w:t>
      </w:r>
      <w:r>
        <w:rPr>
          <w:rFonts w:ascii="宋体" w:hAnsi="宋体" w:cs="Microsoft JhengHei Light"/>
          <w:sz w:val="24"/>
          <w:szCs w:val="24"/>
          <w:highlight w:val="none"/>
        </w:rPr>
        <w:t>.com</w:t>
      </w:r>
    </w:p>
    <w:p w14:paraId="162A63A0">
      <w:pPr>
        <w:jc w:val="right"/>
        <w:rPr>
          <w:rFonts w:hint="eastAsia" w:ascii="宋体" w:hAnsi="宋体" w:cs="Microsoft JhengHei Light"/>
          <w:sz w:val="24"/>
          <w:szCs w:val="24"/>
          <w:highlight w:val="none"/>
        </w:rPr>
      </w:pPr>
      <w:bookmarkStart w:id="7" w:name="_Hlk44358837"/>
      <w:r>
        <w:rPr>
          <w:rFonts w:ascii="宋体" w:hAnsi="宋体" w:cs="Microsoft JhengHei Light"/>
          <w:kern w:val="0"/>
          <w:sz w:val="24"/>
          <w:szCs w:val="24"/>
          <w:highlight w:val="none"/>
        </w:rPr>
        <w:t>202</w:t>
      </w:r>
      <w:r>
        <w:rPr>
          <w:rFonts w:hint="eastAsia" w:ascii="宋体" w:hAnsi="宋体" w:cs="Microsoft JhengHei Light"/>
          <w:kern w:val="0"/>
          <w:sz w:val="24"/>
          <w:szCs w:val="24"/>
          <w:highlight w:val="none"/>
        </w:rPr>
        <w:t>4</w:t>
      </w:r>
      <w:r>
        <w:rPr>
          <w:rFonts w:ascii="宋体" w:hAnsi="宋体" w:cs="Microsoft JhengHei Light"/>
          <w:sz w:val="24"/>
          <w:szCs w:val="24"/>
          <w:highlight w:val="none"/>
        </w:rPr>
        <w:t>年</w:t>
      </w:r>
      <w:r>
        <w:rPr>
          <w:rFonts w:hint="eastAsia" w:ascii="宋体" w:hAnsi="宋体" w:cs="Microsoft JhengHei Light"/>
          <w:sz w:val="24"/>
          <w:szCs w:val="24"/>
          <w:highlight w:val="none"/>
          <w:lang w:val="en-US" w:eastAsia="zh-CN"/>
        </w:rPr>
        <w:t>11</w:t>
      </w:r>
      <w:r>
        <w:rPr>
          <w:rFonts w:ascii="宋体" w:hAnsi="宋体" w:cs="Microsoft JhengHei Light"/>
          <w:sz w:val="24"/>
          <w:szCs w:val="24"/>
          <w:highlight w:val="none"/>
        </w:rPr>
        <w:t>月</w:t>
      </w:r>
      <w:r>
        <w:rPr>
          <w:rFonts w:hint="eastAsia" w:ascii="宋体" w:hAnsi="宋体" w:cs="Microsoft JhengHei Light"/>
          <w:sz w:val="24"/>
          <w:szCs w:val="24"/>
          <w:highlight w:val="none"/>
          <w:lang w:val="en-US" w:eastAsia="zh-CN"/>
        </w:rPr>
        <w:t>11</w:t>
      </w:r>
      <w:r>
        <w:rPr>
          <w:rFonts w:ascii="宋体" w:hAnsi="宋体" w:cs="Microsoft JhengHei Light"/>
          <w:sz w:val="24"/>
          <w:szCs w:val="24"/>
          <w:highlight w:val="none"/>
        </w:rPr>
        <w:t>日</w:t>
      </w:r>
      <w:bookmarkEnd w:id="7"/>
    </w:p>
    <w:p w14:paraId="3D968545">
      <w:pPr>
        <w:pStyle w:val="20"/>
        <w:rPr>
          <w:highlight w:val="none"/>
        </w:rPr>
        <w:sectPr>
          <w:footerReference r:id="rId4" w:type="default"/>
          <w:pgSz w:w="11905" w:h="16838"/>
          <w:pgMar w:top="1077" w:right="1134" w:bottom="1077" w:left="1134" w:header="850" w:footer="992" w:gutter="0"/>
          <w:pgNumType w:fmt="decimal" w:start="1"/>
          <w:cols w:space="0" w:num="1"/>
          <w:docGrid w:linePitch="312" w:charSpace="0"/>
        </w:sectPr>
      </w:pPr>
    </w:p>
    <w:p w14:paraId="2E46F13C">
      <w:pPr>
        <w:pStyle w:val="2"/>
        <w:spacing w:before="120" w:beforeLines="50" w:after="120" w:afterLines="50" w:line="240" w:lineRule="auto"/>
        <w:jc w:val="center"/>
        <w:rPr>
          <w:rFonts w:hint="eastAsia" w:ascii="宋体" w:hAnsi="宋体" w:cs="宋体"/>
          <w:sz w:val="24"/>
          <w:szCs w:val="24"/>
          <w:highlight w:val="none"/>
        </w:rPr>
      </w:pPr>
      <w:bookmarkStart w:id="8" w:name="_Toc152042303"/>
      <w:bookmarkStart w:id="9" w:name="_Toc508615691"/>
      <w:bookmarkStart w:id="10" w:name="_Toc9226"/>
      <w:bookmarkStart w:id="11" w:name="_Toc234675074"/>
      <w:bookmarkStart w:id="12" w:name="_Toc238559183"/>
      <w:bookmarkStart w:id="13" w:name="_Toc12183"/>
      <w:bookmarkStart w:id="14" w:name="_Toc152045527"/>
      <w:bookmarkStart w:id="15" w:name="_Toc179632544"/>
      <w:bookmarkStart w:id="16" w:name="_Toc144974495"/>
      <w:bookmarkStart w:id="17" w:name="_Toc460366495"/>
      <w:bookmarkStart w:id="18" w:name="_Toc19318"/>
      <w:bookmarkStart w:id="19" w:name="_Toc234744442"/>
      <w:r>
        <w:rPr>
          <w:rFonts w:hint="eastAsia" w:eastAsia="黑体" w:cs="黑体"/>
          <w:b w:val="0"/>
          <w:bCs w:val="0"/>
          <w:highlight w:val="none"/>
        </w:rPr>
        <w:t>第二章投标人须知</w:t>
      </w:r>
      <w:bookmarkEnd w:id="8"/>
      <w:bookmarkEnd w:id="9"/>
      <w:bookmarkEnd w:id="10"/>
      <w:bookmarkEnd w:id="11"/>
      <w:bookmarkEnd w:id="12"/>
      <w:bookmarkEnd w:id="13"/>
      <w:bookmarkEnd w:id="14"/>
      <w:bookmarkEnd w:id="15"/>
      <w:bookmarkEnd w:id="16"/>
      <w:bookmarkEnd w:id="17"/>
      <w:bookmarkEnd w:id="18"/>
      <w:bookmarkEnd w:id="19"/>
      <w:bookmarkStart w:id="20" w:name="_Toc234744443"/>
      <w:bookmarkStart w:id="21" w:name="_Toc144974496"/>
      <w:bookmarkStart w:id="22" w:name="_Toc238559184"/>
      <w:bookmarkStart w:id="23" w:name="_Toc152045528"/>
      <w:bookmarkStart w:id="24" w:name="_Toc152042304"/>
      <w:bookmarkStart w:id="25" w:name="_Toc12135"/>
      <w:bookmarkStart w:id="26" w:name="_Toc179632545"/>
      <w:bookmarkStart w:id="27" w:name="_Toc234675075"/>
      <w:bookmarkStart w:id="28" w:name="_Toc460366496"/>
    </w:p>
    <w:bookmarkEnd w:id="20"/>
    <w:bookmarkEnd w:id="21"/>
    <w:bookmarkEnd w:id="22"/>
    <w:bookmarkEnd w:id="23"/>
    <w:bookmarkEnd w:id="24"/>
    <w:bookmarkEnd w:id="25"/>
    <w:bookmarkEnd w:id="26"/>
    <w:bookmarkEnd w:id="27"/>
    <w:bookmarkEnd w:id="28"/>
    <w:p w14:paraId="5A0C9146">
      <w:pPr>
        <w:spacing w:line="360" w:lineRule="auto"/>
        <w:ind w:left="228" w:right="-20"/>
        <w:rPr>
          <w:rFonts w:hint="eastAsia" w:ascii="宋体" w:hAnsi="宋体" w:cs="宋体"/>
          <w:sz w:val="28"/>
          <w:szCs w:val="28"/>
          <w:highlight w:val="none"/>
        </w:rPr>
      </w:pPr>
      <w:r>
        <w:rPr>
          <w:rFonts w:hint="eastAsia" w:ascii="宋体" w:hAnsi="宋体" w:cs="宋体"/>
          <w:spacing w:val="2"/>
          <w:position w:val="-3"/>
          <w:sz w:val="28"/>
          <w:szCs w:val="28"/>
          <w:highlight w:val="none"/>
        </w:rPr>
        <w:t>投标人须知前附</w:t>
      </w:r>
      <w:r>
        <w:rPr>
          <w:rFonts w:hint="eastAsia" w:ascii="宋体" w:hAnsi="宋体" w:cs="宋体"/>
          <w:spacing w:val="1"/>
          <w:position w:val="-3"/>
          <w:sz w:val="28"/>
          <w:szCs w:val="28"/>
          <w:highlight w:val="none"/>
        </w:rPr>
        <w:t>表</w:t>
      </w:r>
    </w:p>
    <w:tbl>
      <w:tblPr>
        <w:tblStyle w:val="53"/>
        <w:tblW w:w="5055"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56"/>
        <w:gridCol w:w="3313"/>
        <w:gridCol w:w="5410"/>
      </w:tblGrid>
      <w:tr w14:paraId="0D1AA0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629" w:type="pct"/>
            <w:vAlign w:val="center"/>
          </w:tcPr>
          <w:p w14:paraId="44D6AD16">
            <w:pPr>
              <w:widowControl/>
              <w:jc w:val="center"/>
              <w:rPr>
                <w:rFonts w:hint="eastAsia" w:ascii="宋体" w:hAnsi="宋体" w:cs="宋体"/>
                <w:highlight w:val="none"/>
              </w:rPr>
            </w:pPr>
            <w:r>
              <w:rPr>
                <w:rFonts w:hint="eastAsia" w:ascii="宋体" w:hAnsi="宋体" w:cs="宋体"/>
                <w:kern w:val="0"/>
                <w:highlight w:val="none"/>
              </w:rPr>
              <w:t>条款号</w:t>
            </w:r>
          </w:p>
        </w:tc>
        <w:tc>
          <w:tcPr>
            <w:tcW w:w="1659" w:type="pct"/>
            <w:vAlign w:val="center"/>
          </w:tcPr>
          <w:p w14:paraId="3089CD8B">
            <w:pPr>
              <w:widowControl/>
              <w:jc w:val="center"/>
              <w:rPr>
                <w:rFonts w:hint="eastAsia" w:ascii="宋体" w:hAnsi="宋体" w:cs="宋体"/>
                <w:highlight w:val="none"/>
              </w:rPr>
            </w:pPr>
            <w:r>
              <w:rPr>
                <w:rFonts w:hint="eastAsia" w:ascii="宋体" w:hAnsi="宋体" w:cs="宋体"/>
                <w:kern w:val="0"/>
                <w:highlight w:val="none"/>
              </w:rPr>
              <w:t>条款名称</w:t>
            </w:r>
          </w:p>
        </w:tc>
        <w:tc>
          <w:tcPr>
            <w:tcW w:w="2710" w:type="pct"/>
          </w:tcPr>
          <w:p w14:paraId="01473015">
            <w:pPr>
              <w:widowControl/>
              <w:jc w:val="center"/>
              <w:rPr>
                <w:rFonts w:hint="eastAsia" w:ascii="宋体" w:hAnsi="宋体" w:cs="宋体"/>
                <w:highlight w:val="none"/>
              </w:rPr>
            </w:pPr>
            <w:r>
              <w:rPr>
                <w:rFonts w:hint="eastAsia" w:ascii="宋体" w:hAnsi="宋体" w:cs="宋体"/>
                <w:kern w:val="0"/>
                <w:highlight w:val="none"/>
              </w:rPr>
              <w:t>编 列 内 容</w:t>
            </w:r>
          </w:p>
        </w:tc>
      </w:tr>
      <w:tr w14:paraId="653B48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1" w:hRule="atLeast"/>
          <w:jc w:val="center"/>
        </w:trPr>
        <w:tc>
          <w:tcPr>
            <w:tcW w:w="629" w:type="pct"/>
            <w:vAlign w:val="center"/>
          </w:tcPr>
          <w:p w14:paraId="79C9D84A">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1.1.2</w:t>
            </w:r>
          </w:p>
        </w:tc>
        <w:tc>
          <w:tcPr>
            <w:tcW w:w="1659" w:type="pct"/>
            <w:vAlign w:val="center"/>
          </w:tcPr>
          <w:p w14:paraId="4A2499D4">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招标人</w:t>
            </w:r>
          </w:p>
        </w:tc>
        <w:tc>
          <w:tcPr>
            <w:tcW w:w="2710" w:type="pct"/>
          </w:tcPr>
          <w:p w14:paraId="4D630F83">
            <w:pPr>
              <w:widowControl/>
              <w:adjustRightInd w:val="0"/>
              <w:snapToGrid w:val="0"/>
              <w:jc w:val="left"/>
              <w:rPr>
                <w:rFonts w:hint="eastAsia" w:ascii="宋体" w:hAnsi="宋体" w:cs="宋体"/>
                <w:highlight w:val="none"/>
              </w:rPr>
            </w:pPr>
            <w:r>
              <w:rPr>
                <w:rFonts w:hint="eastAsia" w:ascii="宋体" w:hAnsi="宋体" w:cs="宋体"/>
                <w:highlight w:val="none"/>
              </w:rPr>
              <w:t>招标人：南通市港航事业发展中心</w:t>
            </w:r>
          </w:p>
          <w:p w14:paraId="42D434D4">
            <w:pPr>
              <w:widowControl/>
              <w:adjustRightInd w:val="0"/>
              <w:snapToGrid w:val="0"/>
              <w:jc w:val="left"/>
              <w:rPr>
                <w:rFonts w:hint="eastAsia" w:ascii="宋体" w:hAnsi="宋体" w:cs="宋体"/>
                <w:highlight w:val="none"/>
              </w:rPr>
            </w:pPr>
            <w:r>
              <w:rPr>
                <w:rFonts w:hint="eastAsia" w:ascii="宋体" w:hAnsi="宋体" w:cs="宋体"/>
                <w:highlight w:val="none"/>
              </w:rPr>
              <w:t xml:space="preserve">地  址：启东市汇龙镇银河路8号 </w:t>
            </w:r>
          </w:p>
          <w:p w14:paraId="0B5A956C">
            <w:pPr>
              <w:widowControl/>
              <w:adjustRightInd w:val="0"/>
              <w:snapToGrid w:val="0"/>
              <w:jc w:val="left"/>
              <w:rPr>
                <w:rFonts w:hint="eastAsia" w:ascii="宋体" w:hAnsi="宋体" w:cs="宋体"/>
                <w:highlight w:val="none"/>
              </w:rPr>
            </w:pPr>
            <w:r>
              <w:rPr>
                <w:rFonts w:hint="eastAsia" w:ascii="宋体" w:hAnsi="宋体" w:cs="宋体"/>
                <w:highlight w:val="none"/>
              </w:rPr>
              <w:t>联 系 人：秦飞</w:t>
            </w:r>
            <w:r>
              <w:rPr>
                <w:rFonts w:hint="eastAsia" w:ascii="宋体" w:hAnsi="宋体" w:cs="宋体"/>
                <w:highlight w:val="none"/>
              </w:rPr>
              <w:tab/>
            </w:r>
          </w:p>
          <w:p w14:paraId="03D0814E">
            <w:pPr>
              <w:widowControl/>
              <w:adjustRightInd w:val="0"/>
              <w:snapToGrid w:val="0"/>
              <w:jc w:val="left"/>
              <w:rPr>
                <w:rFonts w:hint="eastAsia" w:ascii="宋体" w:hAnsi="宋体" w:eastAsia="宋体" w:cs="宋体"/>
                <w:highlight w:val="none"/>
                <w:lang w:eastAsia="zh-CN"/>
              </w:rPr>
            </w:pPr>
            <w:r>
              <w:rPr>
                <w:rFonts w:hint="eastAsia" w:ascii="宋体" w:hAnsi="宋体" w:cs="宋体"/>
                <w:highlight w:val="none"/>
              </w:rPr>
              <w:t xml:space="preserve">电   话： 0513-83312751 </w:t>
            </w:r>
          </w:p>
        </w:tc>
      </w:tr>
      <w:tr w14:paraId="399E59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78491CA">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1.1.3</w:t>
            </w:r>
          </w:p>
        </w:tc>
        <w:tc>
          <w:tcPr>
            <w:tcW w:w="1659" w:type="pct"/>
            <w:vAlign w:val="center"/>
          </w:tcPr>
          <w:p w14:paraId="0FAEAF56">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招标代理机构</w:t>
            </w:r>
          </w:p>
        </w:tc>
        <w:tc>
          <w:tcPr>
            <w:tcW w:w="2710" w:type="pct"/>
          </w:tcPr>
          <w:p w14:paraId="766A6978">
            <w:pPr>
              <w:widowControl/>
              <w:adjustRightInd w:val="0"/>
              <w:snapToGrid w:val="0"/>
              <w:rPr>
                <w:rFonts w:hint="eastAsia" w:ascii="宋体" w:hAnsi="宋体" w:cs="宋体"/>
                <w:highlight w:val="none"/>
              </w:rPr>
            </w:pPr>
            <w:r>
              <w:rPr>
                <w:rFonts w:hint="eastAsia" w:ascii="宋体" w:hAnsi="宋体" w:cs="宋体"/>
                <w:highlight w:val="none"/>
              </w:rPr>
              <w:t>招标代理：江苏睿致诚工程咨询有限公司</w:t>
            </w:r>
          </w:p>
          <w:p w14:paraId="4CD8FAC7">
            <w:pPr>
              <w:widowControl/>
              <w:adjustRightInd w:val="0"/>
              <w:snapToGrid w:val="0"/>
              <w:rPr>
                <w:rFonts w:hint="eastAsia" w:ascii="宋体" w:hAnsi="宋体" w:cs="宋体"/>
                <w:highlight w:val="none"/>
              </w:rPr>
            </w:pPr>
            <w:r>
              <w:rPr>
                <w:rFonts w:hint="eastAsia" w:ascii="宋体" w:hAnsi="宋体" w:cs="宋体"/>
                <w:highlight w:val="none"/>
              </w:rPr>
              <w:t>地址：南京市江宁区江南路697号金轮星际中心A1栋7楼</w:t>
            </w:r>
          </w:p>
          <w:p w14:paraId="3C74F35C">
            <w:pPr>
              <w:widowControl/>
              <w:adjustRightInd w:val="0"/>
              <w:snapToGrid w:val="0"/>
              <w:rPr>
                <w:rFonts w:hint="eastAsia" w:ascii="宋体" w:hAnsi="宋体" w:cs="宋体"/>
                <w:highlight w:val="none"/>
              </w:rPr>
            </w:pPr>
            <w:r>
              <w:rPr>
                <w:rFonts w:hint="eastAsia" w:ascii="宋体" w:hAnsi="宋体" w:cs="宋体"/>
                <w:highlight w:val="none"/>
              </w:rPr>
              <w:t>电话：18932207883（陈小龙）、13814662273（周天豪）</w:t>
            </w:r>
          </w:p>
          <w:p w14:paraId="5971734E">
            <w:pPr>
              <w:widowControl/>
              <w:adjustRightInd w:val="0"/>
              <w:snapToGrid w:val="0"/>
              <w:rPr>
                <w:rFonts w:hint="eastAsia" w:ascii="宋体" w:hAnsi="宋体" w:cs="宋体"/>
                <w:highlight w:val="none"/>
              </w:rPr>
            </w:pPr>
            <w:r>
              <w:rPr>
                <w:rFonts w:hint="eastAsia" w:ascii="宋体" w:hAnsi="宋体" w:cs="宋体"/>
                <w:highlight w:val="none"/>
              </w:rPr>
              <w:t>联系人：陈小龙、周天豪</w:t>
            </w:r>
          </w:p>
        </w:tc>
      </w:tr>
      <w:tr w14:paraId="78259B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0" w:hRule="atLeast"/>
          <w:jc w:val="center"/>
        </w:trPr>
        <w:tc>
          <w:tcPr>
            <w:tcW w:w="629" w:type="pct"/>
            <w:vAlign w:val="center"/>
          </w:tcPr>
          <w:p w14:paraId="016DB993">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1.1.4</w:t>
            </w:r>
          </w:p>
        </w:tc>
        <w:tc>
          <w:tcPr>
            <w:tcW w:w="1659" w:type="pct"/>
            <w:vAlign w:val="center"/>
          </w:tcPr>
          <w:p w14:paraId="12AAD0C7">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项目名称</w:t>
            </w:r>
          </w:p>
        </w:tc>
        <w:tc>
          <w:tcPr>
            <w:tcW w:w="2710" w:type="pct"/>
            <w:vAlign w:val="center"/>
          </w:tcPr>
          <w:p w14:paraId="6854E41D">
            <w:pPr>
              <w:widowControl/>
              <w:adjustRightInd w:val="0"/>
              <w:snapToGrid w:val="0"/>
              <w:jc w:val="left"/>
              <w:rPr>
                <w:rFonts w:hint="eastAsia" w:ascii="宋体" w:hAnsi="宋体" w:cs="宋体"/>
                <w:kern w:val="0"/>
                <w:highlight w:val="none"/>
              </w:rPr>
            </w:pPr>
            <w:r>
              <w:rPr>
                <w:rFonts w:hint="eastAsia" w:ascii="宋体" w:hAnsi="宋体" w:cs="宋体"/>
                <w:kern w:val="0"/>
                <w:highlight w:val="none"/>
              </w:rPr>
              <w:t>见招标公告</w:t>
            </w:r>
          </w:p>
        </w:tc>
      </w:tr>
      <w:tr w14:paraId="76181B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204A847">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1.1.5</w:t>
            </w:r>
          </w:p>
        </w:tc>
        <w:tc>
          <w:tcPr>
            <w:tcW w:w="1659" w:type="pct"/>
            <w:vAlign w:val="center"/>
          </w:tcPr>
          <w:p w14:paraId="74FF8258">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建设地点</w:t>
            </w:r>
          </w:p>
        </w:tc>
        <w:tc>
          <w:tcPr>
            <w:tcW w:w="2710" w:type="pct"/>
            <w:vAlign w:val="center"/>
          </w:tcPr>
          <w:p w14:paraId="42EDBB5A">
            <w:pPr>
              <w:widowControl/>
              <w:wordWrap w:val="0"/>
              <w:adjustRightInd w:val="0"/>
              <w:snapToGrid w:val="0"/>
              <w:rPr>
                <w:rFonts w:hint="default" w:ascii="宋体" w:hAnsi="宋体" w:eastAsia="宋体" w:cs="宋体"/>
                <w:highlight w:val="none"/>
                <w:lang w:val="en-US" w:eastAsia="zh-CN"/>
              </w:rPr>
            </w:pPr>
            <w:r>
              <w:rPr>
                <w:rFonts w:hint="eastAsia" w:ascii="宋体" w:hAnsi="宋体" w:cs="宋体"/>
                <w:highlight w:val="none"/>
                <w:lang w:val="en-US" w:eastAsia="zh-CN"/>
              </w:rPr>
              <w:t>南通境内</w:t>
            </w:r>
          </w:p>
        </w:tc>
      </w:tr>
      <w:tr w14:paraId="535600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6238531">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1.2.1</w:t>
            </w:r>
          </w:p>
        </w:tc>
        <w:tc>
          <w:tcPr>
            <w:tcW w:w="1659" w:type="pct"/>
            <w:vAlign w:val="center"/>
          </w:tcPr>
          <w:p w14:paraId="45BAC3B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资金来源</w:t>
            </w:r>
          </w:p>
        </w:tc>
        <w:tc>
          <w:tcPr>
            <w:tcW w:w="2710" w:type="pct"/>
            <w:vAlign w:val="center"/>
          </w:tcPr>
          <w:p w14:paraId="6030BFBE">
            <w:pPr>
              <w:widowControl/>
              <w:wordWrap w:val="0"/>
              <w:adjustRightInd w:val="0"/>
              <w:snapToGrid w:val="0"/>
              <w:rPr>
                <w:rFonts w:hint="eastAsia" w:ascii="宋体" w:hAnsi="宋体" w:cs="宋体"/>
                <w:highlight w:val="none"/>
              </w:rPr>
            </w:pPr>
            <w:r>
              <w:rPr>
                <w:rFonts w:hint="eastAsia" w:ascii="宋体" w:hAnsi="宋体" w:cs="宋体"/>
                <w:highlight w:val="none"/>
              </w:rPr>
              <w:t>见招标公告</w:t>
            </w:r>
          </w:p>
        </w:tc>
      </w:tr>
      <w:tr w14:paraId="4916EA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7" w:hRule="atLeast"/>
          <w:jc w:val="center"/>
        </w:trPr>
        <w:tc>
          <w:tcPr>
            <w:tcW w:w="629" w:type="pct"/>
            <w:vAlign w:val="center"/>
          </w:tcPr>
          <w:p w14:paraId="51BFEF54">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1.2.2</w:t>
            </w:r>
          </w:p>
        </w:tc>
        <w:tc>
          <w:tcPr>
            <w:tcW w:w="1659" w:type="pct"/>
            <w:vAlign w:val="center"/>
          </w:tcPr>
          <w:p w14:paraId="1688E2B1">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出资比例</w:t>
            </w:r>
          </w:p>
        </w:tc>
        <w:tc>
          <w:tcPr>
            <w:tcW w:w="2710" w:type="pct"/>
            <w:vAlign w:val="center"/>
          </w:tcPr>
          <w:p w14:paraId="7FB7EE3E">
            <w:pPr>
              <w:widowControl/>
              <w:adjustRightInd w:val="0"/>
              <w:snapToGrid w:val="0"/>
              <w:jc w:val="left"/>
              <w:rPr>
                <w:rFonts w:hint="eastAsia" w:ascii="宋体" w:hAnsi="宋体" w:cs="宋体"/>
                <w:kern w:val="0"/>
                <w:highlight w:val="none"/>
              </w:rPr>
            </w:pPr>
            <w:r>
              <w:rPr>
                <w:rFonts w:hint="eastAsia" w:ascii="宋体" w:hAnsi="宋体" w:cs="宋体"/>
                <w:kern w:val="0"/>
                <w:highlight w:val="none"/>
              </w:rPr>
              <w:t>见招标公告</w:t>
            </w:r>
          </w:p>
        </w:tc>
      </w:tr>
      <w:tr w14:paraId="5C424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55B4234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1.2.3</w:t>
            </w:r>
          </w:p>
        </w:tc>
        <w:tc>
          <w:tcPr>
            <w:tcW w:w="1659" w:type="pct"/>
            <w:vAlign w:val="center"/>
          </w:tcPr>
          <w:p w14:paraId="5C364ECA">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资金落实情况</w:t>
            </w:r>
          </w:p>
        </w:tc>
        <w:tc>
          <w:tcPr>
            <w:tcW w:w="2710" w:type="pct"/>
            <w:vAlign w:val="center"/>
          </w:tcPr>
          <w:p w14:paraId="71315DE1">
            <w:pPr>
              <w:widowControl/>
              <w:wordWrap w:val="0"/>
              <w:adjustRightInd w:val="0"/>
              <w:snapToGrid w:val="0"/>
              <w:rPr>
                <w:rFonts w:hint="eastAsia" w:ascii="宋体" w:hAnsi="宋体" w:cs="宋体"/>
                <w:highlight w:val="none"/>
              </w:rPr>
            </w:pPr>
            <w:r>
              <w:rPr>
                <w:rFonts w:hint="eastAsia" w:ascii="宋体" w:hAnsi="宋体" w:cs="宋体"/>
                <w:highlight w:val="none"/>
              </w:rPr>
              <w:t>已落实</w:t>
            </w:r>
          </w:p>
        </w:tc>
      </w:tr>
      <w:tr w14:paraId="51228B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9" w:hRule="atLeast"/>
          <w:jc w:val="center"/>
        </w:trPr>
        <w:tc>
          <w:tcPr>
            <w:tcW w:w="629" w:type="pct"/>
            <w:vAlign w:val="center"/>
          </w:tcPr>
          <w:p w14:paraId="372E94B2">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1.3.1</w:t>
            </w:r>
          </w:p>
        </w:tc>
        <w:tc>
          <w:tcPr>
            <w:tcW w:w="1659" w:type="pct"/>
            <w:vAlign w:val="center"/>
          </w:tcPr>
          <w:p w14:paraId="06E5394F">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招标范围</w:t>
            </w:r>
          </w:p>
        </w:tc>
        <w:tc>
          <w:tcPr>
            <w:tcW w:w="2710" w:type="pct"/>
            <w:vAlign w:val="center"/>
          </w:tcPr>
          <w:p w14:paraId="2EED942F">
            <w:pPr>
              <w:widowControl/>
              <w:wordWrap w:val="0"/>
              <w:adjustRightInd w:val="0"/>
              <w:snapToGrid w:val="0"/>
              <w:rPr>
                <w:rFonts w:hint="eastAsia" w:ascii="宋体" w:hAnsi="宋体" w:cs="宋体"/>
                <w:highlight w:val="none"/>
              </w:rPr>
            </w:pPr>
            <w:r>
              <w:rPr>
                <w:rFonts w:hint="eastAsia" w:ascii="宋体" w:hAnsi="宋体" w:cs="宋体"/>
                <w:highlight w:val="none"/>
              </w:rPr>
              <w:t>见招标公告</w:t>
            </w:r>
          </w:p>
        </w:tc>
      </w:tr>
      <w:tr w14:paraId="4DB55E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3" w:hRule="atLeast"/>
          <w:jc w:val="center"/>
        </w:trPr>
        <w:tc>
          <w:tcPr>
            <w:tcW w:w="629" w:type="pct"/>
            <w:vAlign w:val="center"/>
          </w:tcPr>
          <w:p w14:paraId="04E1AC1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1.3.2</w:t>
            </w:r>
          </w:p>
        </w:tc>
        <w:tc>
          <w:tcPr>
            <w:tcW w:w="1659" w:type="pct"/>
            <w:vAlign w:val="center"/>
          </w:tcPr>
          <w:p w14:paraId="0E5B4AF6">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计划工期</w:t>
            </w:r>
          </w:p>
        </w:tc>
        <w:tc>
          <w:tcPr>
            <w:tcW w:w="2710" w:type="pct"/>
            <w:vAlign w:val="center"/>
          </w:tcPr>
          <w:p w14:paraId="5FAF6960">
            <w:pPr>
              <w:widowControl/>
              <w:wordWrap w:val="0"/>
              <w:adjustRightInd w:val="0"/>
              <w:snapToGrid w:val="0"/>
              <w:rPr>
                <w:rFonts w:hint="eastAsia" w:ascii="宋体" w:hAnsi="宋体" w:cs="宋体"/>
                <w:highlight w:val="none"/>
              </w:rPr>
            </w:pPr>
            <w:r>
              <w:rPr>
                <w:rFonts w:hint="eastAsia" w:ascii="宋体" w:hAnsi="宋体" w:cs="宋体"/>
                <w:highlight w:val="none"/>
              </w:rPr>
              <w:t>见招标公告</w:t>
            </w:r>
          </w:p>
        </w:tc>
      </w:tr>
      <w:tr w14:paraId="5ECD77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4991E9C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1.3.3</w:t>
            </w:r>
          </w:p>
        </w:tc>
        <w:tc>
          <w:tcPr>
            <w:tcW w:w="1659" w:type="pct"/>
            <w:vAlign w:val="center"/>
          </w:tcPr>
          <w:p w14:paraId="68BFCD7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质量要求</w:t>
            </w:r>
          </w:p>
        </w:tc>
        <w:tc>
          <w:tcPr>
            <w:tcW w:w="2710" w:type="pct"/>
            <w:vAlign w:val="center"/>
          </w:tcPr>
          <w:p w14:paraId="0D4F80B7">
            <w:pPr>
              <w:widowControl/>
              <w:wordWrap w:val="0"/>
              <w:adjustRightInd w:val="0"/>
              <w:snapToGrid w:val="0"/>
              <w:rPr>
                <w:rFonts w:hint="eastAsia" w:ascii="宋体" w:hAnsi="宋体" w:cs="宋体"/>
                <w:highlight w:val="none"/>
              </w:rPr>
            </w:pPr>
            <w:r>
              <w:rPr>
                <w:rFonts w:hint="eastAsia" w:ascii="宋体" w:hAnsi="宋体" w:cs="宋体"/>
                <w:highlight w:val="none"/>
              </w:rPr>
              <w:t>见招标公告</w:t>
            </w:r>
          </w:p>
        </w:tc>
      </w:tr>
      <w:tr w14:paraId="7DC3E9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1" w:hRule="atLeast"/>
          <w:jc w:val="center"/>
        </w:trPr>
        <w:tc>
          <w:tcPr>
            <w:tcW w:w="629" w:type="pct"/>
            <w:vAlign w:val="center"/>
          </w:tcPr>
          <w:p w14:paraId="3EAC653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1.3.4</w:t>
            </w:r>
          </w:p>
        </w:tc>
        <w:tc>
          <w:tcPr>
            <w:tcW w:w="1659" w:type="pct"/>
            <w:vAlign w:val="center"/>
          </w:tcPr>
          <w:p w14:paraId="3B7D7E47">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安全目标</w:t>
            </w:r>
          </w:p>
        </w:tc>
        <w:tc>
          <w:tcPr>
            <w:tcW w:w="2710" w:type="pct"/>
            <w:vAlign w:val="center"/>
          </w:tcPr>
          <w:p w14:paraId="23B57592">
            <w:pPr>
              <w:pStyle w:val="18"/>
              <w:topLinePunct/>
              <w:adjustRightInd w:val="0"/>
              <w:snapToGrid w:val="0"/>
              <w:rPr>
                <w:rFonts w:hint="eastAsia" w:hAnsi="宋体"/>
                <w:sz w:val="21"/>
                <w:szCs w:val="21"/>
                <w:highlight w:val="none"/>
              </w:rPr>
            </w:pPr>
            <w:r>
              <w:rPr>
                <w:rFonts w:hint="eastAsia" w:hAnsi="宋体"/>
                <w:sz w:val="21"/>
                <w:szCs w:val="21"/>
                <w:highlight w:val="none"/>
              </w:rPr>
              <w:t>见招标公告</w:t>
            </w:r>
          </w:p>
        </w:tc>
      </w:tr>
      <w:tr w14:paraId="4E8008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DAE75B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1.4.1</w:t>
            </w:r>
          </w:p>
        </w:tc>
        <w:tc>
          <w:tcPr>
            <w:tcW w:w="1659" w:type="pct"/>
            <w:vAlign w:val="center"/>
          </w:tcPr>
          <w:p w14:paraId="26BD5F8D">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投标人资质条件、能力和信誉</w:t>
            </w:r>
          </w:p>
        </w:tc>
        <w:tc>
          <w:tcPr>
            <w:tcW w:w="2710" w:type="pct"/>
            <w:vAlign w:val="center"/>
          </w:tcPr>
          <w:p w14:paraId="2BCDFE50">
            <w:pPr>
              <w:widowControl/>
              <w:rPr>
                <w:rFonts w:hint="eastAsia" w:ascii="宋体" w:hAnsi="宋体" w:cs="宋体"/>
                <w:highlight w:val="none"/>
              </w:rPr>
            </w:pPr>
            <w:r>
              <w:rPr>
                <w:rFonts w:hint="eastAsia" w:ascii="宋体" w:hAnsi="宋体" w:cs="宋体"/>
                <w:highlight w:val="none"/>
              </w:rPr>
              <w:t>详见招标公告</w:t>
            </w:r>
          </w:p>
        </w:tc>
      </w:tr>
      <w:tr w14:paraId="6156F4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E2E08CB">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1.4.2</w:t>
            </w:r>
          </w:p>
        </w:tc>
        <w:tc>
          <w:tcPr>
            <w:tcW w:w="1659" w:type="pct"/>
            <w:vAlign w:val="center"/>
          </w:tcPr>
          <w:p w14:paraId="0ACFA77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是否接受联合体投标</w:t>
            </w:r>
          </w:p>
        </w:tc>
        <w:tc>
          <w:tcPr>
            <w:tcW w:w="2710" w:type="pct"/>
          </w:tcPr>
          <w:p w14:paraId="3D22E781">
            <w:pPr>
              <w:widowControl/>
              <w:jc w:val="left"/>
              <w:rPr>
                <w:rFonts w:hint="eastAsia" w:ascii="宋体" w:hAnsi="宋体" w:cs="宋体"/>
                <w:highlight w:val="none"/>
              </w:rPr>
            </w:pPr>
            <w:r>
              <w:rPr>
                <w:rFonts w:hint="eastAsia" w:ascii="宋体" w:hAnsi="宋体" w:cs="宋体"/>
                <w:highlight w:val="none"/>
              </w:rPr>
              <w:t>□接受</w:t>
            </w:r>
          </w:p>
          <w:p w14:paraId="30A4D02E">
            <w:pPr>
              <w:widowControl/>
              <w:jc w:val="left"/>
              <w:rPr>
                <w:rFonts w:hint="eastAsia" w:ascii="宋体" w:hAnsi="宋体" w:cs="宋体"/>
                <w:highlight w:val="none"/>
              </w:rPr>
            </w:pPr>
            <w:r>
              <w:rPr>
                <w:rFonts w:hint="eastAsia" w:ascii="宋体" w:hAnsi="宋体" w:cs="宋体"/>
                <w:highlight w:val="none"/>
              </w:rPr>
              <w:t>☑不接受</w:t>
            </w:r>
          </w:p>
        </w:tc>
      </w:tr>
      <w:tr w14:paraId="3B2B62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16C218D">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1.9.1</w:t>
            </w:r>
          </w:p>
        </w:tc>
        <w:tc>
          <w:tcPr>
            <w:tcW w:w="1659" w:type="pct"/>
            <w:vAlign w:val="center"/>
          </w:tcPr>
          <w:p w14:paraId="252C348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踏勘现场</w:t>
            </w:r>
          </w:p>
        </w:tc>
        <w:tc>
          <w:tcPr>
            <w:tcW w:w="2710" w:type="pct"/>
          </w:tcPr>
          <w:p w14:paraId="4C1C6A8B">
            <w:pPr>
              <w:widowControl/>
              <w:jc w:val="left"/>
              <w:rPr>
                <w:rFonts w:hint="eastAsia" w:ascii="宋体" w:hAnsi="宋体" w:cs="宋体"/>
                <w:highlight w:val="none"/>
              </w:rPr>
            </w:pPr>
            <w:r>
              <w:rPr>
                <w:rFonts w:hint="eastAsia" w:ascii="宋体" w:hAnsi="宋体" w:cs="宋体"/>
                <w:highlight w:val="none"/>
              </w:rPr>
              <w:t>☑不组织，投标人应自行踏勘现场，费用由投标人自理，安全自负。</w:t>
            </w:r>
          </w:p>
          <w:p w14:paraId="12C6B8E2">
            <w:pPr>
              <w:widowControl/>
              <w:jc w:val="left"/>
              <w:rPr>
                <w:rFonts w:hint="eastAsia" w:ascii="宋体" w:hAnsi="宋体" w:cs="宋体"/>
                <w:highlight w:val="none"/>
              </w:rPr>
            </w:pPr>
            <w:r>
              <w:rPr>
                <w:rFonts w:hint="eastAsia" w:ascii="宋体" w:hAnsi="宋体" w:cs="宋体"/>
                <w:highlight w:val="none"/>
              </w:rPr>
              <w:t>□组织</w:t>
            </w:r>
          </w:p>
        </w:tc>
      </w:tr>
      <w:tr w14:paraId="372B7D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6BB13B4">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1.10.1</w:t>
            </w:r>
          </w:p>
        </w:tc>
        <w:tc>
          <w:tcPr>
            <w:tcW w:w="1659" w:type="pct"/>
            <w:vAlign w:val="center"/>
          </w:tcPr>
          <w:p w14:paraId="00AA375F">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投标预备会</w:t>
            </w:r>
          </w:p>
        </w:tc>
        <w:tc>
          <w:tcPr>
            <w:tcW w:w="2710" w:type="pct"/>
          </w:tcPr>
          <w:p w14:paraId="5E443352">
            <w:pPr>
              <w:widowControl/>
              <w:jc w:val="left"/>
              <w:rPr>
                <w:rFonts w:hint="eastAsia" w:ascii="宋体" w:hAnsi="宋体" w:cs="宋体"/>
                <w:kern w:val="0"/>
                <w:highlight w:val="none"/>
              </w:rPr>
            </w:pPr>
            <w:r>
              <w:rPr>
                <w:rFonts w:hint="eastAsia" w:ascii="宋体" w:hAnsi="宋体" w:cs="宋体"/>
                <w:kern w:val="0"/>
                <w:highlight w:val="none"/>
              </w:rPr>
              <w:t>□召开</w:t>
            </w:r>
          </w:p>
          <w:p w14:paraId="4ADCCBEF">
            <w:pPr>
              <w:widowControl/>
              <w:jc w:val="left"/>
              <w:rPr>
                <w:rFonts w:hint="eastAsia" w:ascii="宋体" w:hAnsi="宋体" w:cs="宋体"/>
                <w:kern w:val="0"/>
                <w:highlight w:val="none"/>
              </w:rPr>
            </w:pPr>
            <w:r>
              <w:rPr>
                <w:rFonts w:hint="eastAsia" w:ascii="宋体" w:hAnsi="宋体" w:cs="宋体"/>
                <w:highlight w:val="none"/>
              </w:rPr>
              <w:t>☑</w:t>
            </w:r>
            <w:r>
              <w:rPr>
                <w:rFonts w:hint="eastAsia" w:ascii="宋体" w:hAnsi="宋体" w:cs="宋体"/>
                <w:kern w:val="0"/>
                <w:highlight w:val="none"/>
              </w:rPr>
              <w:t>不召开</w:t>
            </w:r>
          </w:p>
        </w:tc>
      </w:tr>
      <w:tr w14:paraId="656BC0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2516B2B5">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1.10.2</w:t>
            </w:r>
          </w:p>
        </w:tc>
        <w:tc>
          <w:tcPr>
            <w:tcW w:w="1659" w:type="pct"/>
            <w:vAlign w:val="center"/>
          </w:tcPr>
          <w:p w14:paraId="38109C6A">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投标人提出问题的截止时间</w:t>
            </w:r>
          </w:p>
        </w:tc>
        <w:tc>
          <w:tcPr>
            <w:tcW w:w="2710" w:type="pct"/>
            <w:vAlign w:val="center"/>
          </w:tcPr>
          <w:p w14:paraId="62003A3B">
            <w:pPr>
              <w:widowControl/>
              <w:jc w:val="left"/>
              <w:rPr>
                <w:rFonts w:hint="eastAsia" w:ascii="宋体" w:hAnsi="宋体" w:cs="宋体"/>
                <w:kern w:val="0"/>
                <w:highlight w:val="none"/>
              </w:rPr>
            </w:pPr>
            <w:r>
              <w:rPr>
                <w:rFonts w:hint="eastAsia" w:ascii="宋体" w:hAnsi="宋体" w:cs="宋体"/>
                <w:kern w:val="0"/>
                <w:highlight w:val="none"/>
              </w:rPr>
              <w:t>时间：投标截止日10天前</w:t>
            </w:r>
          </w:p>
        </w:tc>
      </w:tr>
      <w:tr w14:paraId="3058CC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34EBC8B">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1.10.3</w:t>
            </w:r>
          </w:p>
        </w:tc>
        <w:tc>
          <w:tcPr>
            <w:tcW w:w="1659" w:type="pct"/>
            <w:vAlign w:val="center"/>
          </w:tcPr>
          <w:p w14:paraId="17186A2C">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招标人书面澄清的时间</w:t>
            </w:r>
          </w:p>
        </w:tc>
        <w:tc>
          <w:tcPr>
            <w:tcW w:w="2710" w:type="pct"/>
            <w:vAlign w:val="center"/>
          </w:tcPr>
          <w:p w14:paraId="0EAF752D">
            <w:pPr>
              <w:widowControl/>
              <w:jc w:val="left"/>
              <w:rPr>
                <w:rFonts w:hint="eastAsia" w:ascii="宋体" w:hAnsi="宋体" w:cs="宋体"/>
                <w:kern w:val="0"/>
                <w:highlight w:val="none"/>
              </w:rPr>
            </w:pPr>
            <w:r>
              <w:rPr>
                <w:rFonts w:hint="eastAsia" w:ascii="宋体" w:hAnsi="宋体" w:cs="宋体"/>
                <w:kern w:val="0"/>
                <w:highlight w:val="none"/>
              </w:rPr>
              <w:t>在南通市交通运输局网（http://jtysj.nantong.gov.cn）上发布招标文件澄清。修改招标文件的时间距投标截止时间不足15日，且修改内容可能影响投标文件编制的，将相应延长投标截止时间。</w:t>
            </w:r>
          </w:p>
        </w:tc>
      </w:tr>
      <w:tr w14:paraId="3E0252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E9953A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1.11</w:t>
            </w:r>
          </w:p>
        </w:tc>
        <w:tc>
          <w:tcPr>
            <w:tcW w:w="1659" w:type="pct"/>
            <w:vAlign w:val="center"/>
          </w:tcPr>
          <w:p w14:paraId="716B7C1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分 包</w:t>
            </w:r>
          </w:p>
        </w:tc>
        <w:tc>
          <w:tcPr>
            <w:tcW w:w="2710" w:type="pct"/>
          </w:tcPr>
          <w:p w14:paraId="08F809FE">
            <w:pPr>
              <w:widowControl/>
              <w:jc w:val="left"/>
              <w:rPr>
                <w:rFonts w:hint="eastAsia" w:ascii="宋体" w:hAnsi="宋体" w:cs="宋体"/>
                <w:highlight w:val="none"/>
              </w:rPr>
            </w:pPr>
            <w:r>
              <w:rPr>
                <w:rFonts w:hint="eastAsia" w:ascii="宋体" w:hAnsi="宋体" w:cs="宋体"/>
                <w:highlight w:val="none"/>
              </w:rPr>
              <w:t>□允许</w:t>
            </w:r>
          </w:p>
          <w:p w14:paraId="7E59D8B6">
            <w:pPr>
              <w:widowControl/>
              <w:jc w:val="left"/>
              <w:rPr>
                <w:rFonts w:hint="eastAsia" w:ascii="宋体" w:hAnsi="宋体" w:cs="宋体"/>
                <w:highlight w:val="none"/>
              </w:rPr>
            </w:pPr>
            <w:r>
              <w:rPr>
                <w:rFonts w:hint="eastAsia" w:ascii="宋体" w:hAnsi="宋体" w:cs="宋体"/>
                <w:highlight w:val="none"/>
              </w:rPr>
              <w:t>☑不允许</w:t>
            </w:r>
          </w:p>
        </w:tc>
      </w:tr>
      <w:tr w14:paraId="0F24A2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E603422">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1.12</w:t>
            </w:r>
          </w:p>
        </w:tc>
        <w:tc>
          <w:tcPr>
            <w:tcW w:w="1659" w:type="pct"/>
            <w:vAlign w:val="center"/>
          </w:tcPr>
          <w:p w14:paraId="405FC86A">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偏离</w:t>
            </w:r>
          </w:p>
        </w:tc>
        <w:tc>
          <w:tcPr>
            <w:tcW w:w="2710" w:type="pct"/>
          </w:tcPr>
          <w:p w14:paraId="356AE750">
            <w:pPr>
              <w:widowControl/>
              <w:jc w:val="left"/>
              <w:rPr>
                <w:rFonts w:hint="eastAsia" w:ascii="宋体" w:hAnsi="宋体" w:cs="宋体"/>
                <w:kern w:val="0"/>
                <w:highlight w:val="none"/>
              </w:rPr>
            </w:pPr>
            <w:r>
              <w:rPr>
                <w:rFonts w:hint="eastAsia" w:ascii="宋体" w:hAnsi="宋体" w:cs="宋体"/>
                <w:highlight w:val="none"/>
              </w:rPr>
              <w:t>☑</w:t>
            </w:r>
            <w:r>
              <w:rPr>
                <w:rFonts w:hint="eastAsia" w:ascii="宋体" w:hAnsi="宋体" w:cs="宋体"/>
                <w:kern w:val="0"/>
                <w:highlight w:val="none"/>
              </w:rPr>
              <w:t>不允许：不允许重大偏差。</w:t>
            </w:r>
          </w:p>
          <w:p w14:paraId="0FA63467">
            <w:pPr>
              <w:widowControl/>
              <w:jc w:val="left"/>
              <w:rPr>
                <w:rFonts w:hint="eastAsia" w:ascii="宋体" w:hAnsi="宋体" w:cs="宋体"/>
                <w:kern w:val="0"/>
                <w:highlight w:val="none"/>
              </w:rPr>
            </w:pPr>
            <w:r>
              <w:rPr>
                <w:rFonts w:hint="eastAsia" w:ascii="宋体" w:hAnsi="宋体" w:cs="宋体"/>
                <w:highlight w:val="none"/>
              </w:rPr>
              <w:t>☑</w:t>
            </w:r>
            <w:r>
              <w:rPr>
                <w:rFonts w:hint="eastAsia" w:ascii="宋体" w:hAnsi="宋体" w:cs="宋体"/>
                <w:kern w:val="0"/>
                <w:highlight w:val="none"/>
              </w:rPr>
              <w:t>允许：允许细微偏差</w:t>
            </w:r>
          </w:p>
          <w:p w14:paraId="24C3C0B7">
            <w:pPr>
              <w:widowControl/>
              <w:jc w:val="left"/>
              <w:rPr>
                <w:rFonts w:hint="eastAsia" w:ascii="宋体" w:hAnsi="宋体" w:cs="宋体"/>
                <w:kern w:val="0"/>
                <w:highlight w:val="none"/>
              </w:rPr>
            </w:pPr>
            <w:r>
              <w:rPr>
                <w:rFonts w:hint="eastAsia" w:ascii="宋体" w:hAnsi="宋体" w:cs="宋体"/>
                <w:kern w:val="0"/>
                <w:highlight w:val="none"/>
              </w:rPr>
              <w:t>偏差分重大偏差和细微偏差，本招标项目不接受重大偏差。</w:t>
            </w:r>
          </w:p>
          <w:p w14:paraId="647FDF13">
            <w:pPr>
              <w:widowControl/>
              <w:jc w:val="left"/>
              <w:rPr>
                <w:highlight w:val="none"/>
              </w:rPr>
            </w:pPr>
            <w:r>
              <w:rPr>
                <w:rFonts w:hint="eastAsia" w:ascii="宋体" w:hAnsi="宋体" w:cs="宋体"/>
                <w:kern w:val="0"/>
                <w:highlight w:val="none"/>
              </w:rPr>
              <w:t>细微偏差是指投标文件在实质上响应招标文件要求，但在个别地方存在遗漏或者提供了不完整的技术信息和数据等情况，并且补正这些遗漏或者不完整不会对其他投标人造成不公平的结果。细微偏差不影响投标文件的有效性。评标委员会可书面要求存在细微偏差的投标人书面澄清</w:t>
            </w:r>
          </w:p>
        </w:tc>
      </w:tr>
      <w:tr w14:paraId="625E97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62A76A3">
            <w:pPr>
              <w:widowControl/>
              <w:adjustRightInd w:val="0"/>
              <w:snapToGrid w:val="0"/>
              <w:jc w:val="center"/>
              <w:rPr>
                <w:rFonts w:hint="eastAsia" w:ascii="宋体" w:hAnsi="宋体" w:cs="宋体"/>
                <w:kern w:val="0"/>
                <w:highlight w:val="none"/>
              </w:rPr>
            </w:pPr>
          </w:p>
          <w:p w14:paraId="472B388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2.1</w:t>
            </w:r>
          </w:p>
        </w:tc>
        <w:tc>
          <w:tcPr>
            <w:tcW w:w="1659" w:type="pct"/>
            <w:vAlign w:val="center"/>
          </w:tcPr>
          <w:p w14:paraId="0F0C619F">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构成招标文件的其他材料</w:t>
            </w:r>
          </w:p>
        </w:tc>
        <w:tc>
          <w:tcPr>
            <w:tcW w:w="2710" w:type="pct"/>
          </w:tcPr>
          <w:p w14:paraId="0F75DE3F">
            <w:pPr>
              <w:rPr>
                <w:rFonts w:hint="eastAsia" w:ascii="宋体" w:hAnsi="宋体" w:cs="宋体"/>
                <w:kern w:val="0"/>
                <w:highlight w:val="none"/>
              </w:rPr>
            </w:pPr>
            <w:r>
              <w:rPr>
                <w:rFonts w:hint="eastAsia" w:ascii="宋体" w:hAnsi="宋体" w:cs="宋体"/>
                <w:kern w:val="0"/>
                <w:highlight w:val="none"/>
              </w:rPr>
              <w:t>1、本施工项目招标文件由中华人民共和国交通运输部《水运工程标准施工招标文件》（2008年版）(以下简称“《水运工程标准文件》”)和项目专用本两部分组成。本招标文件为项目专用本。构成招标文件的其他材料还包括补遗书（如有）及相关附件。</w:t>
            </w:r>
          </w:p>
          <w:p w14:paraId="74514CC6">
            <w:pPr>
              <w:rPr>
                <w:rFonts w:hint="eastAsia" w:ascii="宋体" w:hAnsi="宋体" w:cs="宋体"/>
                <w:kern w:val="0"/>
                <w:highlight w:val="none"/>
              </w:rPr>
            </w:pPr>
            <w:r>
              <w:rPr>
                <w:rFonts w:hint="eastAsia" w:ascii="宋体" w:hAnsi="宋体" w:cs="宋体"/>
                <w:kern w:val="0"/>
                <w:highlight w:val="none"/>
              </w:rPr>
              <w:t>附件详见以下内容：</w:t>
            </w:r>
          </w:p>
          <w:p w14:paraId="6D6E606B">
            <w:pPr>
              <w:rPr>
                <w:rFonts w:hint="eastAsia" w:ascii="宋体" w:hAnsi="宋体" w:cs="宋体"/>
                <w:b/>
                <w:bCs/>
                <w:kern w:val="0"/>
                <w:highlight w:val="none"/>
              </w:rPr>
            </w:pPr>
            <w:r>
              <w:rPr>
                <w:rFonts w:hint="eastAsia" w:ascii="宋体" w:hAnsi="宋体" w:cs="宋体"/>
                <w:b/>
                <w:bCs/>
                <w:kern w:val="0"/>
                <w:highlight w:val="none"/>
              </w:rPr>
              <w:t>1-1 信用评价</w:t>
            </w:r>
          </w:p>
          <w:p w14:paraId="101C003B">
            <w:pPr>
              <w:rPr>
                <w:rFonts w:hint="eastAsia" w:ascii="宋体" w:hAnsi="宋体" w:cs="宋体"/>
                <w:kern w:val="0"/>
                <w:highlight w:val="none"/>
              </w:rPr>
            </w:pPr>
            <w:r>
              <w:rPr>
                <w:rFonts w:hint="eastAsia" w:ascii="宋体" w:hAnsi="宋体" w:cs="宋体"/>
                <w:kern w:val="0"/>
                <w:highlight w:val="none"/>
              </w:rPr>
              <w:t>附件1：江苏省交通运输厅《省交通运输厅关于印发〈江苏省公路水运建设市场信用信息管理办法〉的通知》（苏交规〔2024〕6号）</w:t>
            </w:r>
          </w:p>
          <w:p w14:paraId="74B5DBDA">
            <w:pPr>
              <w:rPr>
                <w:rFonts w:hint="eastAsia" w:ascii="宋体" w:hAnsi="宋体" w:cs="宋体"/>
                <w:b/>
                <w:bCs/>
                <w:kern w:val="0"/>
                <w:highlight w:val="none"/>
              </w:rPr>
            </w:pPr>
            <w:r>
              <w:rPr>
                <w:rFonts w:hint="eastAsia" w:ascii="宋体" w:hAnsi="宋体" w:cs="宋体"/>
                <w:b/>
                <w:bCs/>
                <w:kern w:val="0"/>
                <w:highlight w:val="none"/>
              </w:rPr>
              <w:t>1-2 安全生产</w:t>
            </w:r>
          </w:p>
          <w:p w14:paraId="0B54BCAD">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w:t>
            </w:r>
            <w:r>
              <w:rPr>
                <w:rFonts w:hint="eastAsia" w:ascii="宋体" w:hAnsi="宋体" w:cs="宋体"/>
                <w:kern w:val="0"/>
                <w:highlight w:val="none"/>
              </w:rPr>
              <w:t>：公路水运工程安全生产监督管理办法（中华人民共和国交通运输部令2017年第25号）</w:t>
            </w:r>
          </w:p>
          <w:p w14:paraId="366006DD">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3</w:t>
            </w:r>
            <w:r>
              <w:rPr>
                <w:rFonts w:hint="eastAsia" w:ascii="宋体" w:hAnsi="宋体" w:cs="宋体"/>
                <w:kern w:val="0"/>
                <w:highlight w:val="none"/>
              </w:rPr>
              <w:t>：“关于印发《企业安全生产费用提取和使用管理办法》的通知（财企〔2022〕136号）”</w:t>
            </w:r>
          </w:p>
          <w:p w14:paraId="24633C1C">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4</w:t>
            </w:r>
            <w:r>
              <w:rPr>
                <w:rFonts w:hint="eastAsia" w:ascii="宋体" w:hAnsi="宋体" w:cs="宋体"/>
                <w:kern w:val="0"/>
                <w:highlight w:val="none"/>
              </w:rPr>
              <w:t>：《江苏省交通建设工程质量和安全生产监督管理条例》</w:t>
            </w:r>
          </w:p>
          <w:p w14:paraId="18BFC008">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5</w:t>
            </w:r>
            <w:r>
              <w:rPr>
                <w:rFonts w:hint="eastAsia" w:ascii="宋体" w:hAnsi="宋体" w:cs="宋体"/>
                <w:kern w:val="0"/>
                <w:highlight w:val="none"/>
              </w:rPr>
              <w:t>：江苏省公路水运工程安全生产费用管理办法（苏交规〔2012〕9号）</w:t>
            </w:r>
          </w:p>
          <w:p w14:paraId="5019990E">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6</w:t>
            </w:r>
            <w:r>
              <w:rPr>
                <w:rFonts w:hint="eastAsia" w:ascii="宋体" w:hAnsi="宋体" w:cs="宋体"/>
                <w:kern w:val="0"/>
                <w:highlight w:val="none"/>
              </w:rPr>
              <w:t>：《关于以更高标准更严措施管控交通运输领域重大安全风险的通知》（苏安〔2019〕14号）</w:t>
            </w:r>
          </w:p>
          <w:p w14:paraId="3E07D3BC">
            <w:pPr>
              <w:rPr>
                <w:rFonts w:hint="eastAsia" w:ascii="宋体" w:hAnsi="宋体" w:cs="宋体"/>
                <w:b/>
                <w:bCs/>
                <w:kern w:val="0"/>
                <w:highlight w:val="none"/>
              </w:rPr>
            </w:pPr>
            <w:r>
              <w:rPr>
                <w:rFonts w:hint="eastAsia" w:ascii="宋体" w:hAnsi="宋体" w:cs="宋体"/>
                <w:b/>
                <w:bCs/>
                <w:kern w:val="0"/>
                <w:highlight w:val="none"/>
              </w:rPr>
              <w:t>1-3 扬尘管控</w:t>
            </w:r>
          </w:p>
          <w:p w14:paraId="6E532B35">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7</w:t>
            </w:r>
            <w:r>
              <w:rPr>
                <w:rFonts w:hint="eastAsia" w:ascii="宋体" w:hAnsi="宋体" w:cs="宋体"/>
                <w:kern w:val="0"/>
                <w:highlight w:val="none"/>
              </w:rPr>
              <w:t>：江苏省大气污染防治条例（省第十三届人民代表大会常务委员会公告第11号）</w:t>
            </w:r>
          </w:p>
          <w:p w14:paraId="25C2F9C8">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8</w:t>
            </w:r>
            <w:r>
              <w:rPr>
                <w:rFonts w:hint="eastAsia" w:ascii="宋体" w:hAnsi="宋体" w:cs="宋体"/>
                <w:kern w:val="0"/>
                <w:highlight w:val="none"/>
              </w:rPr>
              <w:t>：江苏省交通运输厅《关于招标文件贯彻落实扬尘污染防治有关法律法规规定的指导意见》；</w:t>
            </w:r>
          </w:p>
          <w:p w14:paraId="6F43E01C">
            <w:pPr>
              <w:rPr>
                <w:rFonts w:hint="eastAsia" w:ascii="宋体" w:hAnsi="宋体" w:eastAsia="宋体" w:cs="宋体"/>
                <w:kern w:val="0"/>
                <w:highlight w:val="none"/>
              </w:rPr>
            </w:pPr>
            <w:r>
              <w:rPr>
                <w:rFonts w:hint="eastAsia" w:ascii="宋体" w:hAnsi="宋体" w:cs="宋体"/>
                <w:kern w:val="0"/>
                <w:highlight w:val="none"/>
              </w:rPr>
              <w:t>附</w:t>
            </w:r>
            <w:r>
              <w:rPr>
                <w:rFonts w:hint="eastAsia" w:ascii="宋体" w:hAnsi="宋体" w:eastAsia="宋体" w:cs="宋体"/>
                <w:kern w:val="0"/>
                <w:highlight w:val="none"/>
              </w:rPr>
              <w:t>件</w:t>
            </w:r>
            <w:r>
              <w:rPr>
                <w:rFonts w:hint="eastAsia" w:ascii="宋体" w:hAnsi="宋体" w:cs="宋体"/>
                <w:kern w:val="0"/>
                <w:highlight w:val="none"/>
                <w:lang w:val="en-US" w:eastAsia="zh-CN"/>
              </w:rPr>
              <w:t>9</w:t>
            </w:r>
            <w:r>
              <w:rPr>
                <w:rFonts w:hint="eastAsia" w:ascii="宋体" w:hAnsi="宋体" w:eastAsia="宋体" w:cs="宋体"/>
                <w:kern w:val="0"/>
                <w:highlight w:val="none"/>
              </w:rPr>
              <w:t>：《关于印发江苏省公路水运工程工地扬尘污染防治行动方案的函》苏交执法质〔2019〕61号；</w:t>
            </w:r>
          </w:p>
          <w:p w14:paraId="5178DF3D">
            <w:pPr>
              <w:rPr>
                <w:rFonts w:hint="eastAsia" w:ascii="宋体" w:hAnsi="宋体" w:eastAsia="宋体" w:cs="宋体"/>
                <w:kern w:val="0"/>
                <w:highlight w:val="none"/>
              </w:rPr>
            </w:pPr>
            <w:r>
              <w:rPr>
                <w:rFonts w:hint="eastAsia" w:ascii="宋体" w:hAnsi="宋体" w:eastAsia="宋体" w:cs="宋体"/>
                <w:kern w:val="0"/>
                <w:highlight w:val="none"/>
              </w:rPr>
              <w:t>附件</w:t>
            </w:r>
            <w:r>
              <w:rPr>
                <w:rFonts w:hint="eastAsia" w:ascii="宋体" w:hAnsi="宋体" w:eastAsia="宋体" w:cs="宋体"/>
                <w:kern w:val="0"/>
                <w:highlight w:val="none"/>
                <w:lang w:val="en-US" w:eastAsia="zh-CN"/>
              </w:rPr>
              <w:t>1</w:t>
            </w:r>
            <w:r>
              <w:rPr>
                <w:rFonts w:hint="eastAsia" w:ascii="宋体" w:hAnsi="宋体" w:cs="宋体"/>
                <w:kern w:val="0"/>
                <w:highlight w:val="none"/>
                <w:lang w:val="en-US" w:eastAsia="zh-CN"/>
              </w:rPr>
              <w:t>0</w:t>
            </w:r>
            <w:r>
              <w:rPr>
                <w:rFonts w:hint="eastAsia" w:ascii="宋体" w:hAnsi="宋体" w:eastAsia="宋体" w:cs="宋体"/>
                <w:kern w:val="0"/>
                <w:highlight w:val="none"/>
              </w:rPr>
              <w:t>：《关于切实加强施工工地塑料防尘网使用管理工作的通知》苏环办〔2019〕254号；</w:t>
            </w:r>
          </w:p>
          <w:p w14:paraId="175068D4">
            <w:pPr>
              <w:autoSpaceDE/>
              <w:autoSpaceDN/>
              <w:snapToGrid/>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附件</w:t>
            </w:r>
            <w:r>
              <w:rPr>
                <w:rFonts w:hint="eastAsia" w:ascii="宋体" w:hAnsi="宋体" w:eastAsia="宋体" w:cs="宋体"/>
                <w:kern w:val="0"/>
                <w:sz w:val="21"/>
                <w:szCs w:val="21"/>
                <w:highlight w:val="none"/>
                <w:lang w:val="en-US" w:eastAsia="zh-CN"/>
              </w:rPr>
              <w:t>1</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rPr>
              <w:t xml:space="preserve">：省交通综合执法局关于印发江苏省公路水运工程施工扬尘污染防治指导手册的通知(苏交执法发〔2021〕48号)。 </w:t>
            </w:r>
          </w:p>
          <w:p w14:paraId="690EF79C">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12</w:t>
            </w:r>
            <w:r>
              <w:rPr>
                <w:rFonts w:hint="eastAsia" w:ascii="宋体" w:hAnsi="宋体" w:cs="宋体"/>
                <w:kern w:val="0"/>
                <w:highlight w:val="none"/>
              </w:rPr>
              <w:t>：《市政府办公室关于开展南通市区施工扬尘专项治理的实施意见》通政办发〔2019〕58号等相关规定</w:t>
            </w:r>
          </w:p>
          <w:p w14:paraId="55EF32B0">
            <w:pPr>
              <w:rPr>
                <w:rFonts w:hint="eastAsia" w:ascii="宋体" w:hAnsi="宋体" w:cs="宋体"/>
                <w:b/>
                <w:bCs/>
                <w:kern w:val="0"/>
                <w:highlight w:val="none"/>
              </w:rPr>
            </w:pPr>
            <w:r>
              <w:rPr>
                <w:rFonts w:hint="eastAsia" w:ascii="宋体" w:hAnsi="宋体" w:cs="宋体"/>
                <w:b/>
                <w:bCs/>
                <w:kern w:val="0"/>
                <w:highlight w:val="none"/>
              </w:rPr>
              <w:t>1-4 农民工工资</w:t>
            </w:r>
          </w:p>
          <w:p w14:paraId="4F07613A">
            <w:pPr>
              <w:rPr>
                <w:rFonts w:hint="eastAsia" w:ascii="宋体" w:hAnsi="宋体" w:eastAsia="宋体" w:cs="宋体"/>
                <w:kern w:val="0"/>
                <w:highlight w:val="none"/>
              </w:rPr>
            </w:pPr>
            <w:r>
              <w:rPr>
                <w:rFonts w:hint="eastAsia" w:ascii="宋体" w:hAnsi="宋体" w:eastAsia="宋体" w:cs="宋体"/>
                <w:kern w:val="0"/>
                <w:highlight w:val="none"/>
              </w:rPr>
              <w:t>附件</w:t>
            </w:r>
            <w:r>
              <w:rPr>
                <w:rFonts w:hint="eastAsia" w:ascii="宋体" w:hAnsi="宋体" w:eastAsia="宋体" w:cs="宋体"/>
                <w:kern w:val="0"/>
                <w:highlight w:val="none"/>
                <w:lang w:val="en-US" w:eastAsia="zh-CN"/>
              </w:rPr>
              <w:t>1</w:t>
            </w:r>
            <w:r>
              <w:rPr>
                <w:rFonts w:hint="eastAsia" w:ascii="宋体" w:hAnsi="宋体" w:cs="宋体"/>
                <w:kern w:val="0"/>
                <w:highlight w:val="none"/>
                <w:lang w:val="en-US" w:eastAsia="zh-CN"/>
              </w:rPr>
              <w:t>3</w:t>
            </w:r>
            <w:r>
              <w:rPr>
                <w:rFonts w:hint="eastAsia" w:ascii="宋体" w:hAnsi="宋体" w:eastAsia="宋体" w:cs="宋体"/>
                <w:kern w:val="0"/>
                <w:highlight w:val="none"/>
              </w:rPr>
              <w:t>：《保障农民工工资支付条例》（中华人民共和国国务院令第724号）</w:t>
            </w:r>
          </w:p>
          <w:p w14:paraId="7EBB3617">
            <w:pPr>
              <w:rPr>
                <w:rFonts w:hint="eastAsia" w:ascii="宋体" w:hAnsi="宋体" w:eastAsia="宋体" w:cs="宋体"/>
                <w:kern w:val="0"/>
                <w:highlight w:val="none"/>
              </w:rPr>
            </w:pPr>
            <w:r>
              <w:rPr>
                <w:rFonts w:hint="eastAsia" w:ascii="宋体" w:hAnsi="宋体" w:eastAsia="宋体" w:cs="宋体"/>
                <w:kern w:val="0"/>
                <w:highlight w:val="none"/>
              </w:rPr>
              <w:t>附件</w:t>
            </w:r>
            <w:r>
              <w:rPr>
                <w:rFonts w:hint="eastAsia" w:ascii="宋体" w:hAnsi="宋体" w:eastAsia="宋体" w:cs="宋体"/>
                <w:kern w:val="0"/>
                <w:highlight w:val="none"/>
                <w:lang w:val="en-US" w:eastAsia="zh-CN"/>
              </w:rPr>
              <w:t>1</w:t>
            </w:r>
            <w:r>
              <w:rPr>
                <w:rFonts w:hint="eastAsia" w:ascii="宋体" w:hAnsi="宋体" w:cs="宋体"/>
                <w:kern w:val="0"/>
                <w:highlight w:val="none"/>
                <w:lang w:val="en-US" w:eastAsia="zh-CN"/>
              </w:rPr>
              <w:t>4</w:t>
            </w:r>
            <w:r>
              <w:rPr>
                <w:rFonts w:hint="eastAsia" w:ascii="宋体" w:hAnsi="宋体" w:eastAsia="宋体" w:cs="宋体"/>
                <w:kern w:val="0"/>
                <w:highlight w:val="none"/>
              </w:rPr>
              <w:t>：人力资源社会保障部等十部门关于印发《工程建设领域农民工工资专用账户管理暂行办法》的通知（人社部发【2021】53号）</w:t>
            </w:r>
          </w:p>
          <w:p w14:paraId="479EB61F">
            <w:pPr>
              <w:autoSpaceDE/>
              <w:autoSpaceDN/>
              <w:snapToGrid/>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附件</w:t>
            </w:r>
            <w:r>
              <w:rPr>
                <w:rFonts w:hint="eastAsia" w:ascii="宋体" w:hAnsi="宋体" w:eastAsia="宋体" w:cs="宋体"/>
                <w:kern w:val="0"/>
                <w:sz w:val="21"/>
                <w:szCs w:val="21"/>
                <w:highlight w:val="none"/>
                <w:lang w:val="en-US" w:eastAsia="zh-CN"/>
              </w:rPr>
              <w:t>1</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GB"/>
              </w:rPr>
              <w:t>《交通运输部关于公路水运工程建设领域保障农民工工资支付的意见》（交公路规〔2020〕5号）</w:t>
            </w:r>
          </w:p>
          <w:p w14:paraId="5E0B4CEB">
            <w:pPr>
              <w:autoSpaceDE/>
              <w:autoSpaceDN/>
              <w:snapToGrid/>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附件</w:t>
            </w:r>
            <w:r>
              <w:rPr>
                <w:rFonts w:hint="eastAsia" w:ascii="宋体" w:hAnsi="宋体" w:cs="宋体"/>
                <w:kern w:val="0"/>
                <w:sz w:val="21"/>
                <w:szCs w:val="21"/>
                <w:highlight w:val="none"/>
                <w:lang w:val="en-US" w:eastAsia="zh-CN"/>
              </w:rPr>
              <w:t>16</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GB"/>
              </w:rPr>
              <w:t>《关于我省公路水运建设领域贯彻落实〈保障农民工工资支付条例〉的通知》（苏交传﹝2020﹞138号）</w:t>
            </w:r>
          </w:p>
          <w:p w14:paraId="4F72E7CC">
            <w:pPr>
              <w:autoSpaceDE/>
              <w:autoSpaceDN/>
              <w:snapToGrid/>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附件</w:t>
            </w:r>
            <w:r>
              <w:rPr>
                <w:rFonts w:hint="eastAsia" w:ascii="宋体" w:hAnsi="宋体" w:cs="宋体"/>
                <w:kern w:val="0"/>
                <w:sz w:val="21"/>
                <w:szCs w:val="21"/>
                <w:highlight w:val="none"/>
                <w:lang w:val="en-US" w:eastAsia="zh-CN"/>
              </w:rPr>
              <w:t>17</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GB"/>
              </w:rPr>
              <w:t>《省交通运输厅关于交通工程建设领域农民工工资专用账户管理的补充通知》（苏交传〔2020〕398号）</w:t>
            </w:r>
          </w:p>
          <w:p w14:paraId="16EFCE91">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18</w:t>
            </w:r>
            <w:r>
              <w:rPr>
                <w:rFonts w:hint="eastAsia" w:ascii="宋体" w:hAnsi="宋体" w:cs="宋体"/>
                <w:kern w:val="0"/>
                <w:highlight w:val="none"/>
              </w:rPr>
              <w:t>：《省交通运输厅关于交通工程建设领域保障农民工工资支付的意见》（苏交规〔2021〕2号）</w:t>
            </w:r>
          </w:p>
          <w:p w14:paraId="7EE846E3">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19</w:t>
            </w:r>
            <w:r>
              <w:rPr>
                <w:rFonts w:hint="eastAsia" w:ascii="宋体" w:hAnsi="宋体" w:cs="宋体"/>
                <w:kern w:val="0"/>
                <w:highlight w:val="none"/>
              </w:rPr>
              <w:t>：江苏省工程建设领域农民工工资专用账户管理细则（苏人社规[2022]3号）</w:t>
            </w:r>
          </w:p>
          <w:p w14:paraId="35E7A0D0">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20</w:t>
            </w:r>
            <w:r>
              <w:rPr>
                <w:rFonts w:hint="eastAsia" w:ascii="宋体" w:hAnsi="宋体" w:cs="宋体"/>
                <w:kern w:val="0"/>
                <w:highlight w:val="none"/>
              </w:rPr>
              <w:t>：江苏省工程建设领域农民工工资保证金管理办法（苏人社规[2022]4号）</w:t>
            </w:r>
          </w:p>
          <w:p w14:paraId="21155195">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21</w:t>
            </w:r>
            <w:r>
              <w:rPr>
                <w:rFonts w:hint="eastAsia" w:ascii="宋体" w:hAnsi="宋体" w:cs="宋体"/>
                <w:kern w:val="0"/>
                <w:highlight w:val="none"/>
              </w:rPr>
              <w:t>：《南通市工程项目根治拖欠农民工工资工作要点指南》通治欠办发〔2020〕16号</w:t>
            </w:r>
          </w:p>
          <w:p w14:paraId="5EBD4647">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22</w:t>
            </w:r>
            <w:r>
              <w:rPr>
                <w:rFonts w:hint="eastAsia" w:ascii="宋体" w:hAnsi="宋体" w:cs="宋体"/>
                <w:kern w:val="0"/>
                <w:highlight w:val="none"/>
              </w:rPr>
              <w:t>：南通市人力资源和社会保障局等七部门关于印发《江苏省工程建设领域农民工工资专用账户管理细则》的通知通人社监[2022]5号</w:t>
            </w:r>
          </w:p>
          <w:p w14:paraId="01D117E1">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23</w:t>
            </w:r>
            <w:r>
              <w:rPr>
                <w:rFonts w:hint="eastAsia" w:ascii="宋体" w:hAnsi="宋体" w:cs="宋体"/>
                <w:kern w:val="0"/>
                <w:highlight w:val="none"/>
              </w:rPr>
              <w:t>：《关于做好全市工程建设领域农民工工资保证金管理工作的通知》通人社监[2023]2号</w:t>
            </w:r>
          </w:p>
          <w:p w14:paraId="3230D0E5">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24</w:t>
            </w:r>
            <w:r>
              <w:rPr>
                <w:rFonts w:hint="eastAsia" w:ascii="宋体" w:hAnsi="宋体" w:cs="宋体"/>
                <w:kern w:val="0"/>
                <w:highlight w:val="none"/>
              </w:rPr>
              <w:t>：《关于加强工程建设领域劳资专管员队伍建设和管理的通知》通治欠办发[2023]11号</w:t>
            </w:r>
          </w:p>
          <w:p w14:paraId="42E9BD26">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25</w:t>
            </w:r>
            <w:r>
              <w:rPr>
                <w:rFonts w:hint="eastAsia" w:ascii="宋体" w:hAnsi="宋体" w:cs="宋体"/>
                <w:kern w:val="0"/>
                <w:highlight w:val="none"/>
              </w:rPr>
              <w:t>：《关于进一步推进工程项目农民工工资“月结月清”工作的通知》通人社监[2024]3号</w:t>
            </w:r>
          </w:p>
          <w:p w14:paraId="18DD9324">
            <w:pPr>
              <w:rPr>
                <w:rFonts w:hint="eastAsia" w:ascii="宋体" w:hAnsi="宋体" w:cs="宋体"/>
                <w:b/>
                <w:bCs/>
                <w:kern w:val="0"/>
                <w:highlight w:val="none"/>
              </w:rPr>
            </w:pPr>
            <w:r>
              <w:rPr>
                <w:rFonts w:hint="eastAsia" w:ascii="宋体" w:hAnsi="宋体" w:cs="宋体"/>
                <w:b/>
                <w:bCs/>
                <w:kern w:val="0"/>
                <w:highlight w:val="none"/>
              </w:rPr>
              <w:t>1-</w:t>
            </w:r>
            <w:r>
              <w:rPr>
                <w:rFonts w:hint="eastAsia" w:ascii="宋体" w:hAnsi="宋体" w:cs="宋体"/>
                <w:b/>
                <w:bCs/>
                <w:kern w:val="0"/>
                <w:highlight w:val="none"/>
                <w:lang w:val="en-US" w:eastAsia="zh-CN"/>
              </w:rPr>
              <w:t>5</w:t>
            </w:r>
            <w:r>
              <w:rPr>
                <w:rFonts w:hint="eastAsia" w:ascii="宋体" w:hAnsi="宋体" w:cs="宋体"/>
                <w:b/>
                <w:bCs/>
                <w:kern w:val="0"/>
                <w:highlight w:val="none"/>
              </w:rPr>
              <w:t>推荐工艺和落后工艺</w:t>
            </w:r>
          </w:p>
          <w:p w14:paraId="5682041C">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26</w:t>
            </w:r>
            <w:r>
              <w:rPr>
                <w:rFonts w:hint="eastAsia" w:ascii="宋体" w:hAnsi="宋体" w:cs="宋体"/>
                <w:kern w:val="0"/>
                <w:highlight w:val="none"/>
              </w:rPr>
              <w:t>：《江苏省公路水运工程施工工艺推荐目录（第一批）》（苏交建〔2018〕13号）</w:t>
            </w:r>
          </w:p>
          <w:p w14:paraId="65A3C358">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27</w:t>
            </w:r>
            <w:r>
              <w:rPr>
                <w:rFonts w:hint="eastAsia" w:ascii="宋体" w:hAnsi="宋体" w:cs="宋体"/>
                <w:kern w:val="0"/>
                <w:highlight w:val="none"/>
              </w:rPr>
              <w:t>：《江苏省公路水运工程推荐施工工艺（第二批）》（苏交建函【2022】9号）</w:t>
            </w:r>
          </w:p>
          <w:p w14:paraId="4EE4A7F9">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28</w:t>
            </w:r>
            <w:r>
              <w:rPr>
                <w:rFonts w:hint="eastAsia" w:ascii="宋体" w:hAnsi="宋体" w:cs="宋体"/>
                <w:kern w:val="0"/>
                <w:highlight w:val="none"/>
              </w:rPr>
              <w:t>：江苏省公路水运工程落后工艺淘汰目录清单（第一批）》的通知（苏交质[2018]24号）</w:t>
            </w:r>
          </w:p>
          <w:p w14:paraId="597E1702">
            <w:pPr>
              <w:rPr>
                <w:rFonts w:hint="eastAsia" w:ascii="宋体" w:hAnsi="宋体" w:cs="宋体"/>
                <w:kern w:val="0"/>
                <w:highlight w:val="none"/>
              </w:rPr>
            </w:pPr>
            <w:r>
              <w:rPr>
                <w:rFonts w:hint="eastAsia" w:ascii="宋体" w:hAnsi="宋体" w:cs="宋体"/>
                <w:kern w:val="0"/>
                <w:highlight w:val="none"/>
              </w:rPr>
              <w:t>附件</w:t>
            </w:r>
            <w:r>
              <w:rPr>
                <w:rFonts w:hint="eastAsia" w:ascii="宋体" w:hAnsi="宋体" w:cs="宋体"/>
                <w:kern w:val="0"/>
                <w:highlight w:val="none"/>
                <w:lang w:val="en-US" w:eastAsia="zh-CN"/>
              </w:rPr>
              <w:t>29</w:t>
            </w:r>
            <w:r>
              <w:rPr>
                <w:rFonts w:hint="eastAsia" w:ascii="宋体" w:hAnsi="宋体" w:cs="宋体"/>
                <w:kern w:val="0"/>
                <w:highlight w:val="none"/>
              </w:rPr>
              <w:t>：江苏省公路水运工程落后工艺淘汰目录清单（第二批）》的通知（2022年第8号上述各附件请投标人自行从相关网站查询。</w:t>
            </w:r>
          </w:p>
          <w:p w14:paraId="2A330E23">
            <w:pPr>
              <w:rPr>
                <w:rFonts w:hint="eastAsia" w:ascii="宋体" w:hAnsi="宋体" w:cs="宋体"/>
                <w:kern w:val="0"/>
                <w:highlight w:val="none"/>
              </w:rPr>
            </w:pPr>
            <w:r>
              <w:rPr>
                <w:rFonts w:hint="eastAsia" w:ascii="宋体" w:hAnsi="宋体" w:cs="宋体"/>
                <w:kern w:val="0"/>
                <w:highlight w:val="none"/>
              </w:rPr>
              <w:t>2、项目专用本是根据本项目实际情况对《水运工程标准文件》进行了补充、完善和修改。投标人应将《水运工程标准文件》和项目专用本结合阅读，凡《水运工程标准文件》与项目专用本有相悖之处，以项目专用本为准。项目专用本未对《水运工程标准文件》进行补充、细化、修改和说明的，以《水运工程标准文件》为准。</w:t>
            </w:r>
          </w:p>
          <w:p w14:paraId="0F6FB61E">
            <w:pPr>
              <w:widowControl/>
              <w:jc w:val="left"/>
              <w:rPr>
                <w:rFonts w:hint="eastAsia" w:ascii="宋体" w:hAnsi="宋体" w:cs="宋体"/>
                <w:highlight w:val="none"/>
              </w:rPr>
            </w:pPr>
            <w:r>
              <w:rPr>
                <w:rFonts w:hint="eastAsia" w:ascii="宋体" w:hAnsi="宋体" w:cs="宋体"/>
                <w:kern w:val="0"/>
                <w:highlight w:val="none"/>
              </w:rPr>
              <w:t>3、《水运工程标准文件》由投标人自备。</w:t>
            </w:r>
          </w:p>
        </w:tc>
      </w:tr>
      <w:tr w14:paraId="0295B0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35E73CB">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2.2.1</w:t>
            </w:r>
          </w:p>
        </w:tc>
        <w:tc>
          <w:tcPr>
            <w:tcW w:w="1659" w:type="pct"/>
            <w:vAlign w:val="center"/>
          </w:tcPr>
          <w:p w14:paraId="52CE8B13">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投标人要求澄清招标文件的截止时间</w:t>
            </w:r>
          </w:p>
        </w:tc>
        <w:tc>
          <w:tcPr>
            <w:tcW w:w="2710" w:type="pct"/>
            <w:vAlign w:val="center"/>
          </w:tcPr>
          <w:p w14:paraId="2A659139">
            <w:pPr>
              <w:widowControl/>
              <w:adjustRightInd w:val="0"/>
              <w:snapToGrid w:val="0"/>
              <w:jc w:val="left"/>
              <w:rPr>
                <w:rFonts w:hint="eastAsia" w:ascii="宋体" w:hAnsi="宋体" w:cs="宋体"/>
                <w:highlight w:val="none"/>
              </w:rPr>
            </w:pPr>
            <w:r>
              <w:rPr>
                <w:rFonts w:hint="eastAsia" w:ascii="宋体" w:hAnsi="宋体" w:cs="宋体"/>
                <w:kern w:val="0"/>
                <w:highlight w:val="none"/>
              </w:rPr>
              <w:t>时间：投标截止日10天前</w:t>
            </w:r>
          </w:p>
        </w:tc>
      </w:tr>
      <w:tr w14:paraId="66A03F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0" w:hRule="atLeast"/>
          <w:jc w:val="center"/>
        </w:trPr>
        <w:tc>
          <w:tcPr>
            <w:tcW w:w="629" w:type="pct"/>
            <w:vAlign w:val="center"/>
          </w:tcPr>
          <w:p w14:paraId="6DA6DACD">
            <w:pPr>
              <w:widowControl/>
              <w:wordWrap w:val="0"/>
              <w:adjustRightInd w:val="0"/>
              <w:snapToGrid w:val="0"/>
              <w:jc w:val="center"/>
              <w:rPr>
                <w:rFonts w:hint="eastAsia" w:ascii="宋体" w:hAnsi="宋体" w:cs="宋体"/>
                <w:kern w:val="0"/>
                <w:highlight w:val="none"/>
              </w:rPr>
            </w:pPr>
            <w:r>
              <w:rPr>
                <w:rFonts w:hint="eastAsia" w:ascii="宋体" w:hAnsi="宋体" w:cstheme="minorEastAsia"/>
                <w:kern w:val="0"/>
                <w:highlight w:val="none"/>
              </w:rPr>
              <w:t>2.2.2</w:t>
            </w:r>
          </w:p>
        </w:tc>
        <w:tc>
          <w:tcPr>
            <w:tcW w:w="1659" w:type="pct"/>
            <w:vAlign w:val="center"/>
          </w:tcPr>
          <w:p w14:paraId="31BFC021">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投标截止时间</w:t>
            </w:r>
          </w:p>
        </w:tc>
        <w:tc>
          <w:tcPr>
            <w:tcW w:w="2710" w:type="pct"/>
            <w:vAlign w:val="center"/>
          </w:tcPr>
          <w:p w14:paraId="2EA0AA5F">
            <w:pPr>
              <w:widowControl/>
              <w:adjustRightInd w:val="0"/>
              <w:snapToGrid w:val="0"/>
              <w:rPr>
                <w:rFonts w:hint="eastAsia" w:ascii="宋体" w:hAnsi="宋体" w:cs="宋体"/>
                <w:kern w:val="0"/>
                <w:highlight w:val="none"/>
              </w:rPr>
            </w:pPr>
            <w:r>
              <w:rPr>
                <w:rFonts w:hint="eastAsia" w:ascii="宋体" w:hAnsi="宋体" w:cs="宋体"/>
                <w:kern w:val="0"/>
                <w:highlight w:val="none"/>
              </w:rPr>
              <w:t>详见招标公告</w:t>
            </w:r>
          </w:p>
        </w:tc>
      </w:tr>
      <w:tr w14:paraId="77C548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E230B58">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2.2.3</w:t>
            </w:r>
          </w:p>
        </w:tc>
        <w:tc>
          <w:tcPr>
            <w:tcW w:w="1659" w:type="pct"/>
            <w:vAlign w:val="center"/>
          </w:tcPr>
          <w:p w14:paraId="2D0C3F4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投标人确认收到招标文件澄清的时间</w:t>
            </w:r>
          </w:p>
        </w:tc>
        <w:tc>
          <w:tcPr>
            <w:tcW w:w="2710" w:type="pct"/>
            <w:vAlign w:val="center"/>
          </w:tcPr>
          <w:p w14:paraId="4C9C9D04">
            <w:pPr>
              <w:widowControl/>
              <w:jc w:val="left"/>
              <w:rPr>
                <w:rFonts w:hint="eastAsia" w:ascii="宋体" w:hAnsi="宋体" w:cs="宋体"/>
                <w:kern w:val="0"/>
                <w:highlight w:val="none"/>
              </w:rPr>
            </w:pPr>
            <w:r>
              <w:rPr>
                <w:rFonts w:hint="eastAsia" w:ascii="宋体" w:hAnsi="宋体" w:cs="宋体"/>
                <w:kern w:val="0"/>
                <w:highlight w:val="none"/>
                <w:lang w:val="en-US" w:eastAsia="zh-CN"/>
              </w:rPr>
              <w:t>在</w:t>
            </w:r>
            <w:r>
              <w:rPr>
                <w:rFonts w:hint="eastAsia" w:ascii="宋体" w:hAnsi="宋体" w:cs="宋体"/>
                <w:kern w:val="0"/>
                <w:highlight w:val="none"/>
              </w:rPr>
              <w:t>南通市交通运输局（http://jtysj.nantong.gov.cn）</w:t>
            </w:r>
            <w:r>
              <w:rPr>
                <w:rFonts w:hint="eastAsia" w:ascii="宋体" w:hAnsi="宋体" w:cs="宋体"/>
                <w:kern w:val="0"/>
                <w:highlight w:val="none"/>
                <w:lang w:val="en-US" w:eastAsia="zh-CN"/>
              </w:rPr>
              <w:t>上</w:t>
            </w:r>
            <w:r>
              <w:rPr>
                <w:rFonts w:hint="eastAsia" w:ascii="宋体" w:hAnsi="宋体" w:cs="宋体"/>
                <w:kern w:val="0"/>
                <w:highlight w:val="none"/>
              </w:rPr>
              <w:t>发出招标文件澄清，请投标人自行下载。在网站上一经公布，视为投标人已知悉并自行进行下载，无需确认。</w:t>
            </w:r>
          </w:p>
        </w:tc>
      </w:tr>
      <w:tr w14:paraId="53E37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629" w:type="pct"/>
            <w:vAlign w:val="center"/>
          </w:tcPr>
          <w:p w14:paraId="207D69E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2.3.2</w:t>
            </w:r>
          </w:p>
        </w:tc>
        <w:tc>
          <w:tcPr>
            <w:tcW w:w="1659" w:type="pct"/>
            <w:vAlign w:val="center"/>
          </w:tcPr>
          <w:p w14:paraId="38ECB4A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投标人确认收到招标文件修改的时间</w:t>
            </w:r>
          </w:p>
        </w:tc>
        <w:tc>
          <w:tcPr>
            <w:tcW w:w="2710" w:type="pct"/>
            <w:vAlign w:val="center"/>
          </w:tcPr>
          <w:p w14:paraId="26F28ACE">
            <w:pPr>
              <w:widowControl/>
              <w:jc w:val="left"/>
              <w:rPr>
                <w:rFonts w:hint="eastAsia" w:ascii="宋体" w:hAnsi="宋体" w:cs="宋体"/>
                <w:kern w:val="0"/>
                <w:highlight w:val="none"/>
              </w:rPr>
            </w:pPr>
            <w:r>
              <w:rPr>
                <w:rFonts w:hint="eastAsia" w:ascii="宋体" w:hAnsi="宋体" w:cs="宋体"/>
                <w:kern w:val="0"/>
                <w:highlight w:val="none"/>
                <w:lang w:val="en-US" w:eastAsia="zh-CN"/>
              </w:rPr>
              <w:t>在</w:t>
            </w:r>
            <w:r>
              <w:rPr>
                <w:rFonts w:hint="eastAsia" w:ascii="宋体" w:hAnsi="宋体" w:cs="宋体"/>
                <w:kern w:val="0"/>
                <w:highlight w:val="none"/>
              </w:rPr>
              <w:t>南通市交通运输局（http://jtysj.nantong.gov.cn）</w:t>
            </w:r>
            <w:r>
              <w:rPr>
                <w:rFonts w:hint="eastAsia" w:ascii="宋体" w:hAnsi="宋体" w:cs="宋体"/>
                <w:kern w:val="0"/>
                <w:highlight w:val="none"/>
                <w:lang w:val="en-US" w:eastAsia="zh-CN"/>
              </w:rPr>
              <w:t>上</w:t>
            </w:r>
            <w:r>
              <w:rPr>
                <w:rFonts w:hint="eastAsia" w:ascii="宋体" w:hAnsi="宋体" w:cs="宋体"/>
                <w:kern w:val="0"/>
                <w:highlight w:val="none"/>
              </w:rPr>
              <w:t>发出招标文件修改，请投标人自行下载。在网站上一经公布，视为投标人已知悉并自行进行下载，无需确认。</w:t>
            </w:r>
          </w:p>
        </w:tc>
      </w:tr>
      <w:tr w14:paraId="102023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8" w:hRule="atLeast"/>
          <w:jc w:val="center"/>
        </w:trPr>
        <w:tc>
          <w:tcPr>
            <w:tcW w:w="629" w:type="pct"/>
            <w:vAlign w:val="center"/>
          </w:tcPr>
          <w:p w14:paraId="3814099C">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3.1.1</w:t>
            </w:r>
          </w:p>
        </w:tc>
        <w:tc>
          <w:tcPr>
            <w:tcW w:w="1659" w:type="pct"/>
            <w:vAlign w:val="center"/>
          </w:tcPr>
          <w:p w14:paraId="1AE31DDC">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构成投标文件的其他材料</w:t>
            </w:r>
          </w:p>
        </w:tc>
        <w:tc>
          <w:tcPr>
            <w:tcW w:w="2710" w:type="pct"/>
            <w:vAlign w:val="center"/>
          </w:tcPr>
          <w:p w14:paraId="76D89F39">
            <w:pPr>
              <w:widowControl/>
              <w:jc w:val="left"/>
              <w:rPr>
                <w:rFonts w:hint="eastAsia" w:ascii="宋体" w:hAnsi="宋体" w:cs="宋体"/>
                <w:kern w:val="0"/>
                <w:highlight w:val="none"/>
              </w:rPr>
            </w:pPr>
            <w:r>
              <w:rPr>
                <w:rFonts w:hint="eastAsia" w:ascii="宋体" w:hAnsi="宋体" w:cs="宋体"/>
                <w:kern w:val="0"/>
                <w:highlight w:val="none"/>
              </w:rPr>
              <w:t>见第八章 投标文件格式“九、其他材料”</w:t>
            </w:r>
          </w:p>
        </w:tc>
      </w:tr>
      <w:tr w14:paraId="1393BA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44340DB">
            <w:pPr>
              <w:widowControl/>
              <w:adjustRightInd w:val="0"/>
              <w:snapToGrid w:val="0"/>
              <w:jc w:val="center"/>
              <w:rPr>
                <w:rFonts w:hint="eastAsia" w:ascii="宋体" w:hAnsi="宋体" w:cs="宋体"/>
                <w:kern w:val="0"/>
                <w:highlight w:val="none"/>
              </w:rPr>
            </w:pPr>
            <w:r>
              <w:rPr>
                <w:rFonts w:ascii="宋体" w:hAnsi="宋体" w:cs="宋体"/>
                <w:kern w:val="0"/>
                <w:highlight w:val="none"/>
              </w:rPr>
              <w:t>3.1.3</w:t>
            </w:r>
          </w:p>
        </w:tc>
        <w:tc>
          <w:tcPr>
            <w:tcW w:w="1659" w:type="pct"/>
            <w:vAlign w:val="center"/>
          </w:tcPr>
          <w:p w14:paraId="41ABF0FC">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施工组织设计应至少包括</w:t>
            </w:r>
          </w:p>
        </w:tc>
        <w:tc>
          <w:tcPr>
            <w:tcW w:w="2710" w:type="pct"/>
            <w:vAlign w:val="center"/>
          </w:tcPr>
          <w:p w14:paraId="391D5A66">
            <w:pPr>
              <w:widowControl/>
              <w:jc w:val="left"/>
              <w:rPr>
                <w:rFonts w:hint="eastAsia"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1）施工组织方案</w:t>
            </w:r>
          </w:p>
          <w:p w14:paraId="45020638">
            <w:pPr>
              <w:widowControl/>
              <w:jc w:val="left"/>
              <w:rPr>
                <w:rFonts w:hint="eastAsia"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2）重难点分析</w:t>
            </w:r>
          </w:p>
          <w:p w14:paraId="51687F13">
            <w:pPr>
              <w:widowControl/>
              <w:jc w:val="left"/>
              <w:rPr>
                <w:rFonts w:hint="eastAsia"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3）质量、安全、环保及进度保证措施</w:t>
            </w:r>
          </w:p>
        </w:tc>
      </w:tr>
      <w:tr w14:paraId="34560F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6B3E493">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3.2.1</w:t>
            </w:r>
          </w:p>
        </w:tc>
        <w:tc>
          <w:tcPr>
            <w:tcW w:w="1659" w:type="pct"/>
            <w:vAlign w:val="center"/>
          </w:tcPr>
          <w:p w14:paraId="33C47EE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工程量清单的填写方式</w:t>
            </w:r>
          </w:p>
        </w:tc>
        <w:tc>
          <w:tcPr>
            <w:tcW w:w="2710" w:type="pct"/>
            <w:vAlign w:val="center"/>
          </w:tcPr>
          <w:p w14:paraId="68196E6C">
            <w:pPr>
              <w:widowControl/>
              <w:jc w:val="left"/>
              <w:rPr>
                <w:rFonts w:hint="eastAsia" w:ascii="宋体" w:hAnsi="宋体" w:cs="宋体"/>
                <w:kern w:val="0"/>
                <w:highlight w:val="none"/>
              </w:rPr>
            </w:pPr>
            <w:r>
              <w:rPr>
                <w:rFonts w:hint="eastAsia" w:ascii="宋体" w:hAnsi="宋体" w:cs="宋体"/>
                <w:kern w:val="0"/>
                <w:highlight w:val="none"/>
              </w:rPr>
              <w:t>投标人按照招标人提供的工程量固化清单电子文件填写工程量清单</w:t>
            </w:r>
          </w:p>
        </w:tc>
      </w:tr>
      <w:tr w14:paraId="1D778A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7" w:hRule="atLeast"/>
          <w:jc w:val="center"/>
        </w:trPr>
        <w:tc>
          <w:tcPr>
            <w:tcW w:w="629" w:type="pct"/>
            <w:vAlign w:val="center"/>
          </w:tcPr>
          <w:p w14:paraId="6F0FD3D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w:t>
            </w:r>
            <w:r>
              <w:rPr>
                <w:rFonts w:hint="eastAsia" w:ascii="宋体" w:hAnsi="宋体" w:cs="宋体"/>
                <w:kern w:val="0"/>
                <w:highlight w:val="none"/>
                <w:lang w:val="en-US" w:eastAsia="zh-CN"/>
              </w:rPr>
              <w:t>3</w:t>
            </w:r>
            <w:r>
              <w:rPr>
                <w:rFonts w:hint="eastAsia" w:ascii="宋体" w:hAnsi="宋体" w:cs="宋体"/>
                <w:kern w:val="0"/>
                <w:highlight w:val="none"/>
              </w:rPr>
              <w:t>.1</w:t>
            </w:r>
          </w:p>
        </w:tc>
        <w:tc>
          <w:tcPr>
            <w:tcW w:w="1659" w:type="pct"/>
            <w:vAlign w:val="center"/>
          </w:tcPr>
          <w:p w14:paraId="04634E7C">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投标有效期</w:t>
            </w:r>
          </w:p>
        </w:tc>
        <w:tc>
          <w:tcPr>
            <w:tcW w:w="2710" w:type="pct"/>
          </w:tcPr>
          <w:p w14:paraId="38547B75">
            <w:pPr>
              <w:pStyle w:val="20"/>
              <w:rPr>
                <w:highlight w:val="none"/>
              </w:rPr>
            </w:pPr>
            <w:r>
              <w:rPr>
                <w:rFonts w:hint="eastAsia"/>
                <w:highlight w:val="none"/>
              </w:rPr>
              <w:t>自投标人提交投标文件截止之日起计算90天</w:t>
            </w:r>
          </w:p>
        </w:tc>
      </w:tr>
      <w:tr w14:paraId="05BA7A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4" w:hRule="atLeast"/>
          <w:jc w:val="center"/>
        </w:trPr>
        <w:tc>
          <w:tcPr>
            <w:tcW w:w="629" w:type="pct"/>
            <w:vAlign w:val="center"/>
          </w:tcPr>
          <w:p w14:paraId="7016DB1C">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3.4.1</w:t>
            </w:r>
          </w:p>
        </w:tc>
        <w:tc>
          <w:tcPr>
            <w:tcW w:w="1659" w:type="pct"/>
            <w:vAlign w:val="center"/>
          </w:tcPr>
          <w:p w14:paraId="5079C963">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投标保证金</w:t>
            </w:r>
          </w:p>
        </w:tc>
        <w:tc>
          <w:tcPr>
            <w:tcW w:w="2710" w:type="pct"/>
            <w:vAlign w:val="center"/>
          </w:tcPr>
          <w:p w14:paraId="70E9FAE5">
            <w:pPr>
              <w:pStyle w:val="18"/>
              <w:topLinePunct/>
              <w:adjustRightInd w:val="0"/>
              <w:snapToGrid w:val="0"/>
              <w:rPr>
                <w:rFonts w:hint="eastAsia" w:hAnsi="宋体"/>
                <w:sz w:val="21"/>
                <w:szCs w:val="21"/>
                <w:highlight w:val="none"/>
              </w:rPr>
            </w:pPr>
            <w:r>
              <w:rPr>
                <w:rFonts w:hAnsi="宋体"/>
                <w:sz w:val="21"/>
                <w:szCs w:val="21"/>
                <w:highlight w:val="none"/>
              </w:rPr>
              <w:t>1</w:t>
            </w:r>
            <w:r>
              <w:rPr>
                <w:rFonts w:hint="eastAsia" w:hAnsi="宋体"/>
                <w:sz w:val="21"/>
                <w:szCs w:val="21"/>
                <w:highlight w:val="none"/>
              </w:rPr>
              <w:t>、是否要求投标人递交投标保证金：</w:t>
            </w:r>
          </w:p>
          <w:p w14:paraId="0DD548CF">
            <w:pPr>
              <w:pStyle w:val="18"/>
              <w:topLinePunct/>
              <w:adjustRightInd w:val="0"/>
              <w:snapToGrid w:val="0"/>
              <w:rPr>
                <w:rFonts w:hint="eastAsia" w:hAnsi="宋体"/>
                <w:sz w:val="21"/>
                <w:szCs w:val="21"/>
                <w:highlight w:val="none"/>
              </w:rPr>
            </w:pPr>
            <w:r>
              <w:rPr>
                <w:rFonts w:hint="eastAsia" w:hAnsi="宋体" w:cstheme="minorEastAsia"/>
                <w:bCs/>
                <w:sz w:val="21"/>
                <w:szCs w:val="21"/>
                <w:highlight w:val="none"/>
              </w:rPr>
              <w:t>☑</w:t>
            </w:r>
            <w:r>
              <w:rPr>
                <w:rFonts w:hint="eastAsia" w:hAnsi="宋体"/>
                <w:sz w:val="21"/>
                <w:szCs w:val="21"/>
                <w:highlight w:val="none"/>
              </w:rPr>
              <w:t>要求</w:t>
            </w:r>
          </w:p>
          <w:p w14:paraId="40B65485">
            <w:pPr>
              <w:snapToGrid w:val="0"/>
              <w:rPr>
                <w:rFonts w:hint="eastAsia" w:ascii="宋体" w:hAnsi="宋体" w:eastAsia="宋体" w:cs="宋体"/>
                <w:highlight w:val="none"/>
              </w:rPr>
            </w:pPr>
            <w:r>
              <w:rPr>
                <w:rFonts w:hint="eastAsia" w:ascii="宋体" w:hAnsi="宋体" w:cs="宋体"/>
                <w:highlight w:val="none"/>
              </w:rPr>
              <w:t>一、投标保证金的金额：</w:t>
            </w:r>
            <w:r>
              <w:rPr>
                <w:rFonts w:hint="eastAsia" w:ascii="宋体" w:hAnsi="宋体" w:cs="宋体"/>
                <w:highlight w:val="none"/>
                <w:lang w:val="en-US" w:eastAsia="zh-CN"/>
              </w:rPr>
              <w:t>5000</w:t>
            </w:r>
            <w:r>
              <w:rPr>
                <w:rFonts w:hint="eastAsia" w:ascii="宋体" w:hAnsi="宋体" w:cs="宋体"/>
                <w:highlight w:val="none"/>
              </w:rPr>
              <w:t>元。投标人在最近一次江苏省公路水路建设市场从业单位信用评定结果中的信用等级被评为AA级的投标保证金减少50％，被列入最近一次江苏省公路水运建设市场守信激励主体对象名单（红名单）的免缴投标保证金。（从业单位在本省无信用评价记录的，信用等级按省交通运输厅关于印发《江苏省公路水运建设市场信用信息管理办法》的通知 苏交规〔2024〕6号文件执行。信用类别：施工）。</w:t>
            </w:r>
          </w:p>
          <w:p w14:paraId="0826260F">
            <w:pPr>
              <w:snapToGrid w:val="0"/>
              <w:rPr>
                <w:rFonts w:hint="eastAsia" w:ascii="宋体" w:hAnsi="宋体" w:eastAsia="宋体" w:cs="宋体"/>
                <w:highlight w:val="none"/>
              </w:rPr>
            </w:pPr>
            <w:r>
              <w:rPr>
                <w:rFonts w:hint="eastAsia" w:ascii="宋体" w:hAnsi="宋体" w:eastAsia="宋体" w:cs="宋体"/>
                <w:highlight w:val="none"/>
              </w:rPr>
              <w:t>二、投标保证金的递交截止时间为：同投标文件递交截止时间（即开标时间）</w:t>
            </w:r>
          </w:p>
          <w:p w14:paraId="7F557A82">
            <w:pPr>
              <w:snapToGrid w:val="0"/>
              <w:rPr>
                <w:rFonts w:hint="eastAsia" w:ascii="宋体" w:hAnsi="宋体" w:cs="宋体"/>
                <w:highlight w:val="none"/>
              </w:rPr>
            </w:pPr>
            <w:r>
              <w:rPr>
                <w:rFonts w:hint="eastAsia" w:ascii="宋体" w:hAnsi="宋体" w:cs="宋体"/>
                <w:highlight w:val="none"/>
              </w:rPr>
              <w:t>三、投标保证金的形式：不限</w:t>
            </w:r>
          </w:p>
          <w:p w14:paraId="37D58896">
            <w:pPr>
              <w:snapToGrid w:val="0"/>
              <w:rPr>
                <w:rFonts w:hint="eastAsia" w:ascii="宋体" w:hAnsi="宋体" w:cs="宋体"/>
                <w:highlight w:val="none"/>
              </w:rPr>
            </w:pPr>
            <w:r>
              <w:rPr>
                <w:rFonts w:hint="eastAsia" w:ascii="宋体" w:hAnsi="宋体" w:cs="宋体"/>
                <w:highlight w:val="none"/>
              </w:rPr>
              <w:t>（一）红名单单位免缴投标保证金，提供列入红名单的公告截图即可。</w:t>
            </w:r>
          </w:p>
          <w:p w14:paraId="4306DF7B">
            <w:pPr>
              <w:snapToGrid w:val="0"/>
              <w:rPr>
                <w:rFonts w:hint="eastAsia" w:ascii="宋体" w:hAnsi="宋体" w:cs="宋体"/>
                <w:highlight w:val="none"/>
              </w:rPr>
            </w:pPr>
            <w:r>
              <w:rPr>
                <w:rFonts w:hint="eastAsia" w:ascii="宋体" w:hAnsi="宋体" w:cs="宋体"/>
                <w:highlight w:val="none"/>
              </w:rPr>
              <w:t>（二）非红名单单位根据投标人实际情况合理选择以下任意一种方式：</w:t>
            </w:r>
          </w:p>
          <w:p w14:paraId="42C45549">
            <w:pPr>
              <w:snapToGrid w:val="0"/>
              <w:rPr>
                <w:rFonts w:hint="eastAsia" w:ascii="宋体" w:hAnsi="宋体" w:cs="宋体"/>
                <w:highlight w:val="none"/>
              </w:rPr>
            </w:pPr>
            <w:r>
              <w:rPr>
                <w:rFonts w:hint="eastAsia" w:ascii="宋体" w:hAnsi="宋体" w:cs="宋体"/>
                <w:highlight w:val="none"/>
              </w:rPr>
              <w:t>（1）现金方式（应当从投标人基本账户转出）：</w:t>
            </w:r>
          </w:p>
          <w:p w14:paraId="1E406F7B">
            <w:pPr>
              <w:snapToGrid w:val="0"/>
              <w:rPr>
                <w:rFonts w:hint="eastAsia" w:ascii="宋体" w:hAnsi="宋体" w:cs="宋体"/>
                <w:highlight w:val="none"/>
              </w:rPr>
            </w:pPr>
            <w:r>
              <w:rPr>
                <w:rFonts w:hint="eastAsia" w:ascii="宋体" w:hAnsi="宋体" w:cs="宋体"/>
                <w:highlight w:val="none"/>
              </w:rPr>
              <w:t>①若采用转账（网银或柜面皆可），投标人应将投标保证金由投标人基本账户一次性汇入招标人指定账户，否则，视为投标保证金无效。同时将转账凭证扫描件附在投标文件中。</w:t>
            </w:r>
          </w:p>
          <w:p w14:paraId="1464D65D">
            <w:pPr>
              <w:snapToGrid w:val="0"/>
              <w:rPr>
                <w:rFonts w:hint="eastAsia" w:ascii="宋体" w:hAnsi="宋体" w:cs="宋体"/>
                <w:highlight w:val="none"/>
              </w:rPr>
            </w:pPr>
            <w:r>
              <w:rPr>
                <w:rFonts w:hint="eastAsia" w:ascii="宋体" w:hAnsi="宋体" w:cs="宋体"/>
                <w:highlight w:val="none"/>
              </w:rPr>
              <w:t>②若采用银行汇票或银行本票（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14:paraId="0E3F45FF">
            <w:pPr>
              <w:snapToGrid w:val="0"/>
              <w:rPr>
                <w:rFonts w:hint="eastAsia" w:ascii="宋体" w:hAnsi="宋体" w:cs="宋体"/>
                <w:highlight w:val="none"/>
              </w:rPr>
            </w:pPr>
            <w:r>
              <w:rPr>
                <w:rFonts w:hint="eastAsia" w:ascii="宋体" w:hAnsi="宋体" w:cs="宋体"/>
                <w:highlight w:val="none"/>
              </w:rPr>
              <w:t>注：投标保证金缴纳开户银行及账号如下</w:t>
            </w:r>
          </w:p>
          <w:p w14:paraId="3E824DB1">
            <w:pPr>
              <w:snapToGrid w:val="0"/>
              <w:rPr>
                <w:rFonts w:hint="eastAsia" w:ascii="宋体" w:hAnsi="宋体" w:cs="宋体"/>
                <w:highlight w:val="none"/>
              </w:rPr>
            </w:pPr>
            <w:r>
              <w:rPr>
                <w:rFonts w:hint="eastAsia" w:ascii="宋体" w:hAnsi="宋体" w:cs="宋体"/>
                <w:highlight w:val="none"/>
              </w:rPr>
              <w:t>开户名称：江苏睿致诚工程咨询有限公司南通分公司</w:t>
            </w:r>
          </w:p>
          <w:p w14:paraId="21E78788">
            <w:pPr>
              <w:snapToGrid w:val="0"/>
              <w:rPr>
                <w:rFonts w:hint="eastAsia" w:ascii="宋体" w:hAnsi="宋体" w:cs="宋体"/>
                <w:highlight w:val="none"/>
              </w:rPr>
            </w:pPr>
            <w:r>
              <w:rPr>
                <w:rFonts w:hint="eastAsia" w:ascii="宋体" w:hAnsi="宋体" w:cs="宋体"/>
                <w:highlight w:val="none"/>
              </w:rPr>
              <w:t>开户银行：中国农业银行股份有限公司南通人民东路支行</w:t>
            </w:r>
          </w:p>
          <w:p w14:paraId="0D1424D1">
            <w:pPr>
              <w:snapToGrid w:val="0"/>
              <w:rPr>
                <w:rFonts w:hint="eastAsia" w:ascii="宋体" w:hAnsi="宋体" w:cs="宋体"/>
                <w:highlight w:val="none"/>
              </w:rPr>
            </w:pPr>
            <w:r>
              <w:rPr>
                <w:rFonts w:hint="eastAsia" w:ascii="宋体" w:hAnsi="宋体" w:cs="宋体"/>
                <w:highlight w:val="none"/>
              </w:rPr>
              <w:t>银行账号：10716001040028956</w:t>
            </w:r>
          </w:p>
          <w:p w14:paraId="082507B6">
            <w:pPr>
              <w:snapToGrid w:val="0"/>
              <w:rPr>
                <w:rFonts w:hint="eastAsia" w:ascii="宋体" w:hAnsi="宋体" w:cs="宋体"/>
                <w:highlight w:val="none"/>
              </w:rPr>
            </w:pPr>
            <w:r>
              <w:rPr>
                <w:rFonts w:hint="eastAsia" w:ascii="宋体" w:hAnsi="宋体" w:cs="宋体"/>
                <w:highlight w:val="none"/>
              </w:rPr>
              <w:t>（2）非现金方式（各类保函、保单的费用应由投标人基本账户汇出）：</w:t>
            </w:r>
          </w:p>
          <w:p w14:paraId="3CE5C628">
            <w:pPr>
              <w:snapToGrid w:val="0"/>
              <w:rPr>
                <w:rFonts w:hint="eastAsia" w:ascii="宋体" w:hAnsi="宋体" w:cs="宋体"/>
                <w:highlight w:val="none"/>
              </w:rPr>
            </w:pPr>
            <w:r>
              <w:rPr>
                <w:rFonts w:hint="eastAsia" w:ascii="宋体" w:hAnsi="宋体" w:cs="宋体"/>
                <w:highlight w:val="none"/>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费用支付凭证的扫描件附在投标文件中。</w:t>
            </w:r>
          </w:p>
          <w:p w14:paraId="1E991DFC">
            <w:pPr>
              <w:snapToGrid w:val="0"/>
              <w:rPr>
                <w:rFonts w:hint="eastAsia" w:ascii="宋体" w:hAnsi="宋体" w:cs="宋体"/>
                <w:highlight w:val="none"/>
              </w:rPr>
            </w:pPr>
            <w:r>
              <w:rPr>
                <w:rFonts w:hint="eastAsia" w:ascii="宋体" w:hAnsi="宋体" w:cs="宋体"/>
                <w:highlight w:val="none"/>
              </w:rPr>
              <w:t>采用银行保函时，出具保函的银行级别：国有或股份制商业银行的支行或以上级别（不限于银行具体分支机构）。</w:t>
            </w:r>
          </w:p>
          <w:p w14:paraId="2B557D8C">
            <w:pPr>
              <w:snapToGrid w:val="0"/>
              <w:rPr>
                <w:rFonts w:hint="eastAsia" w:ascii="宋体" w:hAnsi="宋体" w:cs="宋体"/>
                <w:highlight w:val="none"/>
              </w:rPr>
            </w:pPr>
            <w:r>
              <w:rPr>
                <w:rFonts w:hint="eastAsia" w:ascii="宋体" w:hAnsi="宋体" w:cs="宋体"/>
                <w:highlight w:val="none"/>
              </w:rPr>
              <w:t>②若采用保险机构的保单、担保保函，应在投标有效期内保持有效，招标人如果按规定延长了投标有效期，则投标保证金的有效期也相应延长。如出具纸质保单、保函的，则应将保单、保函原件</w:t>
            </w:r>
            <w:r>
              <w:rPr>
                <w:rFonts w:hint="eastAsia" w:ascii="宋体" w:hAnsi="宋体" w:cs="宋体"/>
                <w:highlight w:val="none"/>
                <w:lang w:val="en-US" w:eastAsia="zh-CN"/>
              </w:rPr>
              <w:t>递交</w:t>
            </w:r>
            <w:r>
              <w:rPr>
                <w:rFonts w:hint="eastAsia" w:ascii="宋体" w:hAnsi="宋体" w:cs="宋体"/>
                <w:highlight w:val="none"/>
              </w:rPr>
              <w:t>给招标代理，并将保单、保函扫描件和费用支付凭证的扫描件附在投标文件中；如出具电子保单、保函的，则须将保函扫描件和费用支付凭证的扫描件附在投标文件中。</w:t>
            </w:r>
          </w:p>
          <w:p w14:paraId="49DCABDC">
            <w:pPr>
              <w:snapToGrid w:val="0"/>
              <w:rPr>
                <w:rFonts w:hint="eastAsia"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3</w:t>
            </w:r>
            <w:r>
              <w:rPr>
                <w:rFonts w:hint="eastAsia" w:ascii="宋体" w:hAnsi="宋体" w:cs="宋体"/>
                <w:highlight w:val="none"/>
                <w:lang w:eastAsia="zh-CN"/>
              </w:rPr>
              <w:t>）</w:t>
            </w:r>
            <w:r>
              <w:rPr>
                <w:rFonts w:hint="eastAsia" w:ascii="宋体" w:hAnsi="宋体" w:cs="宋体"/>
                <w:highlight w:val="none"/>
              </w:rPr>
              <w:t>采用《</w:t>
            </w:r>
            <w:r>
              <w:rPr>
                <w:rFonts w:hint="eastAsia" w:ascii="宋体" w:hAnsi="宋体" w:eastAsia="宋体" w:cs="宋体"/>
                <w:b w:val="0"/>
                <w:bCs/>
                <w:highlight w:val="none"/>
              </w:rPr>
              <w:t>投标保证金信用承诺书</w:t>
            </w:r>
            <w:r>
              <w:rPr>
                <w:rFonts w:hint="eastAsia" w:ascii="宋体" w:hAnsi="宋体" w:cs="宋体"/>
                <w:highlight w:val="none"/>
              </w:rPr>
              <w:t>》方式，格式详见招标文件第九章投标文件格式。</w:t>
            </w:r>
          </w:p>
          <w:p w14:paraId="181CD238">
            <w:pPr>
              <w:snapToGrid w:val="0"/>
              <w:rPr>
                <w:rFonts w:hint="eastAsia" w:ascii="宋体" w:hAnsi="宋体" w:cs="宋体"/>
                <w:highlight w:val="none"/>
              </w:rPr>
            </w:pPr>
            <w:r>
              <w:rPr>
                <w:rFonts w:hint="eastAsia" w:ascii="宋体" w:hAnsi="宋体" w:cs="宋体"/>
                <w:highlight w:val="none"/>
                <w:lang w:val="en-US" w:eastAsia="zh-CN"/>
              </w:rPr>
              <w:t>四</w:t>
            </w:r>
            <w:r>
              <w:rPr>
                <w:rFonts w:hint="eastAsia" w:ascii="宋体" w:hAnsi="宋体" w:cs="宋体"/>
                <w:highlight w:val="none"/>
              </w:rPr>
              <w:t>、投标保证金的利息计算原则</w:t>
            </w:r>
          </w:p>
          <w:p w14:paraId="0040204E">
            <w:pPr>
              <w:snapToGrid w:val="0"/>
              <w:rPr>
                <w:rFonts w:hint="eastAsia" w:ascii="宋体" w:hAnsi="宋体" w:cs="宋体"/>
                <w:highlight w:val="none"/>
              </w:rPr>
            </w:pPr>
            <w:r>
              <w:rPr>
                <w:rFonts w:hint="eastAsia" w:ascii="宋体" w:hAnsi="宋体" w:cs="宋体"/>
                <w:highlight w:val="none"/>
              </w:rPr>
              <w:t xml:space="preserve">（1）计算利息的起始日期为投标截止当日，终止日期为招标人退还投标保证金日期的前一日； </w:t>
            </w:r>
          </w:p>
          <w:p w14:paraId="7BAE0BB0">
            <w:pPr>
              <w:snapToGrid w:val="0"/>
              <w:rPr>
                <w:rFonts w:hint="eastAsia" w:ascii="宋体" w:hAnsi="宋体" w:cs="宋体"/>
                <w:highlight w:val="none"/>
              </w:rPr>
            </w:pPr>
            <w:r>
              <w:rPr>
                <w:rFonts w:hint="eastAsia" w:ascii="宋体" w:hAnsi="宋体" w:cs="宋体"/>
                <w:highlight w:val="none"/>
              </w:rPr>
              <w:t xml:space="preserve">（2）投标保证金的利息按照第（1）款所述计息时间段内招标人指定汇入银行公告的活期存款利率计付，并扣除招标人汇款手续费； </w:t>
            </w:r>
          </w:p>
          <w:p w14:paraId="50759EB6">
            <w:pPr>
              <w:pStyle w:val="20"/>
              <w:rPr>
                <w:highlight w:val="none"/>
              </w:rPr>
            </w:pPr>
            <w:r>
              <w:rPr>
                <w:rFonts w:hint="eastAsia" w:ascii="宋体" w:hAnsi="宋体" w:cs="宋体"/>
                <w:highlight w:val="none"/>
              </w:rPr>
              <w:t>（3）利息金额计算至分位，分以下尾数四舍五入。</w:t>
            </w:r>
          </w:p>
          <w:p w14:paraId="7972A2D9">
            <w:pPr>
              <w:autoSpaceDE w:val="0"/>
              <w:autoSpaceDN w:val="0"/>
              <w:adjustRightInd w:val="0"/>
              <w:snapToGrid w:val="0"/>
              <w:jc w:val="left"/>
              <w:rPr>
                <w:rFonts w:hint="eastAsia" w:ascii="宋体" w:hAnsi="宋体" w:cs="宋体"/>
                <w:kern w:val="0"/>
                <w:highlight w:val="none"/>
              </w:rPr>
            </w:pPr>
            <w:r>
              <w:rPr>
                <w:rFonts w:hint="eastAsia" w:ascii="宋体" w:hAnsi="宋体" w:cs="宋体"/>
                <w:highlight w:val="none"/>
              </w:rPr>
              <w:t>□不要求</w:t>
            </w:r>
          </w:p>
        </w:tc>
      </w:tr>
      <w:tr w14:paraId="204119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1" w:hRule="atLeast"/>
          <w:jc w:val="center"/>
        </w:trPr>
        <w:tc>
          <w:tcPr>
            <w:tcW w:w="629" w:type="pct"/>
            <w:vAlign w:val="center"/>
          </w:tcPr>
          <w:p w14:paraId="1EC8F2F3">
            <w:pPr>
              <w:widowControl/>
              <w:adjustRightInd w:val="0"/>
              <w:snapToGrid w:val="0"/>
              <w:jc w:val="center"/>
              <w:rPr>
                <w:rFonts w:hint="eastAsia" w:ascii="宋体" w:hAnsi="宋体" w:cs="宋体"/>
                <w:kern w:val="0"/>
                <w:highlight w:val="none"/>
              </w:rPr>
            </w:pPr>
            <w:r>
              <w:rPr>
                <w:highlight w:val="none"/>
              </w:rPr>
              <w:t>3.4.5</w:t>
            </w:r>
          </w:p>
        </w:tc>
        <w:tc>
          <w:tcPr>
            <w:tcW w:w="1659" w:type="pct"/>
            <w:vAlign w:val="center"/>
          </w:tcPr>
          <w:p w14:paraId="7A4BCD6B">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若投标人决定不继续参与投标</w:t>
            </w:r>
          </w:p>
        </w:tc>
        <w:tc>
          <w:tcPr>
            <w:tcW w:w="2710" w:type="pct"/>
            <w:vAlign w:val="center"/>
          </w:tcPr>
          <w:p w14:paraId="083C11C6">
            <w:pPr>
              <w:pStyle w:val="18"/>
              <w:topLinePunct/>
              <w:adjustRightInd w:val="0"/>
              <w:snapToGrid w:val="0"/>
              <w:rPr>
                <w:rFonts w:hint="eastAsia" w:hAnsi="宋体"/>
                <w:sz w:val="21"/>
                <w:szCs w:val="21"/>
                <w:highlight w:val="none"/>
              </w:rPr>
            </w:pPr>
            <w:r>
              <w:rPr>
                <w:rFonts w:hint="eastAsia" w:hAnsi="宋体"/>
                <w:sz w:val="21"/>
                <w:szCs w:val="21"/>
                <w:highlight w:val="none"/>
              </w:rPr>
              <w:t>增加：</w:t>
            </w:r>
          </w:p>
          <w:p w14:paraId="05F51705">
            <w:pPr>
              <w:pStyle w:val="18"/>
              <w:topLinePunct/>
              <w:adjustRightInd w:val="0"/>
              <w:snapToGrid w:val="0"/>
              <w:rPr>
                <w:rFonts w:hint="eastAsia" w:hAnsi="宋体"/>
                <w:sz w:val="21"/>
                <w:szCs w:val="21"/>
                <w:highlight w:val="none"/>
              </w:rPr>
            </w:pPr>
            <w:r>
              <w:rPr>
                <w:rFonts w:hint="eastAsia" w:hAnsi="宋体"/>
                <w:sz w:val="21"/>
                <w:szCs w:val="21"/>
                <w:highlight w:val="none"/>
              </w:rPr>
              <w:t>3.4.5若投标人决定不继续参与投标须在投标截止之日3天前书面告知招标人；</w:t>
            </w:r>
          </w:p>
          <w:p w14:paraId="05FE92AF">
            <w:pPr>
              <w:pStyle w:val="18"/>
              <w:topLinePunct/>
              <w:adjustRightInd w:val="0"/>
              <w:snapToGrid w:val="0"/>
              <w:rPr>
                <w:rFonts w:hint="eastAsia" w:hAnsi="宋体"/>
                <w:sz w:val="21"/>
                <w:szCs w:val="21"/>
                <w:highlight w:val="none"/>
              </w:rPr>
            </w:pPr>
            <w:r>
              <w:rPr>
                <w:rFonts w:hint="eastAsia" w:hAnsi="宋体"/>
                <w:sz w:val="21"/>
                <w:szCs w:val="21"/>
                <w:highlight w:val="none"/>
              </w:rPr>
              <w:t>已交的投标保证金由招标人</w:t>
            </w:r>
            <w:r>
              <w:rPr>
                <w:rFonts w:hAnsi="宋体"/>
                <w:sz w:val="21"/>
                <w:szCs w:val="21"/>
                <w:highlight w:val="none"/>
              </w:rPr>
              <w:t>7</w:t>
            </w:r>
            <w:r>
              <w:rPr>
                <w:rFonts w:hint="eastAsia" w:hAnsi="宋体"/>
                <w:sz w:val="21"/>
                <w:szCs w:val="21"/>
                <w:highlight w:val="none"/>
              </w:rPr>
              <w:t>天内返还。</w:t>
            </w:r>
          </w:p>
        </w:tc>
      </w:tr>
      <w:tr w14:paraId="0EDC5D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41E8C17">
            <w:pPr>
              <w:widowControl/>
              <w:adjustRightInd w:val="0"/>
              <w:snapToGrid w:val="0"/>
              <w:jc w:val="center"/>
              <w:rPr>
                <w:rFonts w:hint="eastAsia" w:ascii="宋体" w:hAnsi="宋体" w:cs="宋体"/>
                <w:kern w:val="0"/>
                <w:highlight w:val="none"/>
              </w:rPr>
            </w:pPr>
            <w:bookmarkStart w:id="29" w:name="_Hlk172060108"/>
            <w:r>
              <w:rPr>
                <w:rFonts w:hint="eastAsia" w:ascii="宋体" w:hAnsi="宋体" w:cs="宋体"/>
                <w:kern w:val="0"/>
                <w:highlight w:val="none"/>
              </w:rPr>
              <w:t>3.5.2</w:t>
            </w:r>
          </w:p>
        </w:tc>
        <w:tc>
          <w:tcPr>
            <w:tcW w:w="1659" w:type="pct"/>
            <w:vAlign w:val="center"/>
          </w:tcPr>
          <w:p w14:paraId="387E284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近年财务状况的年份要求</w:t>
            </w:r>
          </w:p>
        </w:tc>
        <w:tc>
          <w:tcPr>
            <w:tcW w:w="2710" w:type="pct"/>
            <w:vAlign w:val="center"/>
          </w:tcPr>
          <w:p w14:paraId="3DD76407">
            <w:pPr>
              <w:widowControl/>
              <w:rPr>
                <w:rFonts w:hint="eastAsia" w:ascii="宋体" w:hAnsi="宋体" w:cs="宋体"/>
                <w:highlight w:val="none"/>
              </w:rPr>
            </w:pPr>
            <w:r>
              <w:rPr>
                <w:rFonts w:hint="eastAsia" w:ascii="宋体" w:hAnsi="宋体" w:cs="宋体"/>
                <w:b/>
                <w:bCs/>
                <w:kern w:val="0"/>
                <w:highlight w:val="none"/>
                <w:lang w:bidi="zh-CN"/>
              </w:rPr>
              <w:t>/</w:t>
            </w:r>
          </w:p>
        </w:tc>
      </w:tr>
      <w:tr w14:paraId="2464A3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4C1CCE02">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3.5.3</w:t>
            </w:r>
          </w:p>
        </w:tc>
        <w:tc>
          <w:tcPr>
            <w:tcW w:w="1659" w:type="pct"/>
            <w:vAlign w:val="center"/>
          </w:tcPr>
          <w:p w14:paraId="23D17C18">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近年完成的类似项目的年份要求</w:t>
            </w:r>
          </w:p>
        </w:tc>
        <w:tc>
          <w:tcPr>
            <w:tcW w:w="2710" w:type="pct"/>
            <w:vAlign w:val="center"/>
          </w:tcPr>
          <w:p w14:paraId="21D3C3B7">
            <w:pPr>
              <w:widowControl/>
              <w:rPr>
                <w:rFonts w:hint="eastAsia" w:ascii="宋体" w:hAnsi="宋体" w:cs="宋体"/>
                <w:highlight w:val="none"/>
              </w:rPr>
            </w:pPr>
            <w:r>
              <w:rPr>
                <w:rFonts w:hint="eastAsia" w:ascii="宋体" w:hAnsi="宋体" w:cs="宋体"/>
                <w:highlight w:val="none"/>
              </w:rPr>
              <w:t>见招标公告</w:t>
            </w:r>
          </w:p>
        </w:tc>
      </w:tr>
      <w:tr w14:paraId="3D102F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26F663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3.5.5</w:t>
            </w:r>
          </w:p>
        </w:tc>
        <w:tc>
          <w:tcPr>
            <w:tcW w:w="1659" w:type="pct"/>
            <w:vAlign w:val="center"/>
          </w:tcPr>
          <w:p w14:paraId="24F1DB4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近年发生的诉讼及仲裁情况的年份要求</w:t>
            </w:r>
          </w:p>
        </w:tc>
        <w:tc>
          <w:tcPr>
            <w:tcW w:w="2710" w:type="pct"/>
            <w:vAlign w:val="center"/>
          </w:tcPr>
          <w:p w14:paraId="267BA05B">
            <w:pPr>
              <w:widowControl/>
              <w:rPr>
                <w:rFonts w:hint="eastAsia" w:ascii="宋体" w:hAnsi="宋体" w:cs="宋体"/>
                <w:highlight w:val="none"/>
              </w:rPr>
            </w:pPr>
            <w:r>
              <w:rPr>
                <w:rFonts w:hint="eastAsia" w:ascii="宋体" w:hAnsi="宋体" w:cs="宋体"/>
                <w:highlight w:val="none"/>
              </w:rPr>
              <w:t>近三年：2022年至2024年</w:t>
            </w:r>
          </w:p>
        </w:tc>
      </w:tr>
      <w:tr w14:paraId="6D9021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29B7773">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3.6</w:t>
            </w:r>
          </w:p>
        </w:tc>
        <w:tc>
          <w:tcPr>
            <w:tcW w:w="1659" w:type="pct"/>
            <w:vAlign w:val="center"/>
          </w:tcPr>
          <w:p w14:paraId="6D77EF42">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是否允许递交备选投标方案</w:t>
            </w:r>
          </w:p>
        </w:tc>
        <w:tc>
          <w:tcPr>
            <w:tcW w:w="2710" w:type="pct"/>
          </w:tcPr>
          <w:p w14:paraId="1E6CB0E1">
            <w:pPr>
              <w:widowControl/>
              <w:jc w:val="left"/>
              <w:rPr>
                <w:rFonts w:hint="eastAsia" w:ascii="宋体" w:hAnsi="宋体" w:cs="宋体"/>
                <w:highlight w:val="none"/>
              </w:rPr>
            </w:pPr>
            <w:r>
              <w:rPr>
                <w:rFonts w:hint="eastAsia" w:ascii="宋体" w:hAnsi="宋体" w:cs="宋体"/>
                <w:highlight w:val="none"/>
              </w:rPr>
              <w:t>□允许</w:t>
            </w:r>
          </w:p>
          <w:p w14:paraId="27F7E0C6">
            <w:pPr>
              <w:widowControl/>
              <w:jc w:val="left"/>
              <w:rPr>
                <w:rFonts w:hint="eastAsia" w:ascii="宋体" w:hAnsi="宋体" w:cs="宋体"/>
                <w:highlight w:val="none"/>
              </w:rPr>
            </w:pPr>
            <w:r>
              <w:rPr>
                <w:rFonts w:ascii="Segoe UI Symbol" w:hAnsi="Segoe UI Symbol" w:cs="Segoe UI Symbol"/>
                <w:bCs/>
                <w:highlight w:val="none"/>
              </w:rPr>
              <w:t>☑</w:t>
            </w:r>
            <w:r>
              <w:rPr>
                <w:rFonts w:hint="eastAsia" w:ascii="宋体" w:hAnsi="宋体" w:cs="宋体"/>
                <w:highlight w:val="none"/>
              </w:rPr>
              <w:t>不允许</w:t>
            </w:r>
          </w:p>
        </w:tc>
      </w:tr>
      <w:tr w14:paraId="095558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8C2D62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3.7.3</w:t>
            </w:r>
          </w:p>
        </w:tc>
        <w:tc>
          <w:tcPr>
            <w:tcW w:w="1659" w:type="pct"/>
            <w:vAlign w:val="center"/>
          </w:tcPr>
          <w:p w14:paraId="78BE8EA4">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签字或盖章要求</w:t>
            </w:r>
          </w:p>
        </w:tc>
        <w:tc>
          <w:tcPr>
            <w:tcW w:w="2710" w:type="pct"/>
          </w:tcPr>
          <w:p w14:paraId="52015B32">
            <w:pPr>
              <w:widowControl/>
              <w:adjustRightInd w:val="0"/>
              <w:snapToGrid w:val="0"/>
              <w:jc w:val="both"/>
              <w:rPr>
                <w:rFonts w:hint="eastAsia" w:ascii="宋体" w:hAnsi="宋体" w:eastAsia="宋体" w:cs="宋体"/>
                <w:b w:val="0"/>
                <w:bCs w:val="0"/>
                <w:kern w:val="2"/>
                <w:sz w:val="21"/>
                <w:szCs w:val="21"/>
                <w:highlight w:val="none"/>
                <w:lang w:val="en-US" w:eastAsia="zh-CN" w:bidi="ar"/>
              </w:rPr>
            </w:pPr>
            <w:r>
              <w:rPr>
                <w:rFonts w:hint="eastAsia" w:ascii="宋体" w:hAnsi="宋体" w:eastAsia="宋体" w:cs="宋体"/>
                <w:b w:val="0"/>
                <w:bCs w:val="0"/>
                <w:kern w:val="2"/>
                <w:sz w:val="21"/>
                <w:szCs w:val="21"/>
                <w:highlight w:val="none"/>
                <w:lang w:val="en-US" w:eastAsia="zh-CN" w:bidi="ar"/>
              </w:rPr>
              <w:t>投标文件正本应用不褪色的墨水书写或打印，投标文件上法定代表人或其授权代理人的签字或盖章齐全和盖单位章齐全，符合招标文件规定：</w:t>
            </w:r>
          </w:p>
          <w:p w14:paraId="6CDFD6DC">
            <w:pPr>
              <w:widowControl/>
              <w:adjustRightInd w:val="0"/>
              <w:snapToGrid w:val="0"/>
              <w:jc w:val="both"/>
              <w:rPr>
                <w:rFonts w:hint="eastAsia" w:ascii="宋体" w:hAnsi="宋体" w:eastAsia="宋体" w:cs="宋体"/>
                <w:b w:val="0"/>
                <w:bCs w:val="0"/>
                <w:kern w:val="2"/>
                <w:sz w:val="21"/>
                <w:szCs w:val="21"/>
                <w:highlight w:val="none"/>
                <w:lang w:val="en-US" w:eastAsia="zh-CN" w:bidi="ar"/>
              </w:rPr>
            </w:pPr>
            <w:r>
              <w:rPr>
                <w:rFonts w:hint="eastAsia" w:ascii="宋体" w:hAnsi="宋体" w:eastAsia="宋体" w:cs="宋体"/>
                <w:b w:val="0"/>
                <w:bCs w:val="0"/>
                <w:kern w:val="2"/>
                <w:sz w:val="21"/>
                <w:szCs w:val="21"/>
                <w:highlight w:val="none"/>
                <w:lang w:val="en-US" w:eastAsia="zh-CN" w:bidi="ar"/>
              </w:rPr>
              <w:t>投标文件第一信封（商务文件）正本中凡投标函、投标函附录、法定代表人身份证明、授权委托书、投标人与其他单位存在控股、管理关系情况表、拟投入项目经理任职承诺书、不拖欠民工工资承诺书、投标人信用承诺书</w:t>
            </w:r>
            <w:r>
              <w:rPr>
                <w:rFonts w:hint="eastAsia" w:ascii="宋体" w:hAnsi="宋体" w:cs="宋体"/>
                <w:b w:val="0"/>
                <w:bCs w:val="0"/>
                <w:kern w:val="2"/>
                <w:sz w:val="21"/>
                <w:szCs w:val="21"/>
                <w:highlight w:val="none"/>
                <w:lang w:val="en-US" w:eastAsia="zh-CN" w:bidi="ar"/>
              </w:rPr>
              <w:t>、材料真实性承诺书</w:t>
            </w:r>
            <w:r>
              <w:rPr>
                <w:rFonts w:hint="eastAsia" w:ascii="宋体" w:hAnsi="宋体" w:eastAsia="宋体" w:cs="宋体"/>
                <w:b w:val="0"/>
                <w:bCs w:val="0"/>
                <w:kern w:val="2"/>
                <w:sz w:val="21"/>
                <w:szCs w:val="21"/>
                <w:highlight w:val="none"/>
                <w:lang w:val="en-US" w:eastAsia="zh-CN" w:bidi="ar"/>
              </w:rPr>
              <w:t>必须按招标文件明确规定的格式和要求签字和盖章。</w:t>
            </w:r>
          </w:p>
          <w:p w14:paraId="4AD59B19">
            <w:pPr>
              <w:widowControl/>
              <w:adjustRightInd w:val="0"/>
              <w:snapToGrid w:val="0"/>
              <w:jc w:val="both"/>
              <w:rPr>
                <w:rFonts w:hint="eastAsia" w:ascii="宋体" w:hAnsi="宋体" w:eastAsia="宋体" w:cs="宋体"/>
                <w:b w:val="0"/>
                <w:bCs w:val="0"/>
                <w:kern w:val="2"/>
                <w:sz w:val="21"/>
                <w:szCs w:val="21"/>
                <w:highlight w:val="none"/>
                <w:lang w:val="en-US" w:eastAsia="zh-CN" w:bidi="ar"/>
              </w:rPr>
            </w:pPr>
            <w:r>
              <w:rPr>
                <w:rFonts w:hint="eastAsia" w:ascii="宋体" w:hAnsi="宋体" w:eastAsia="宋体" w:cs="宋体"/>
                <w:b w:val="0"/>
                <w:bCs w:val="0"/>
                <w:kern w:val="2"/>
                <w:sz w:val="21"/>
                <w:szCs w:val="21"/>
                <w:highlight w:val="none"/>
                <w:lang w:val="en-US" w:eastAsia="zh-CN" w:bidi="ar"/>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投标人单位章（本页正文内容已加盖单位章的除外）。</w:t>
            </w:r>
          </w:p>
          <w:p w14:paraId="62055A1A">
            <w:pPr>
              <w:widowControl/>
              <w:adjustRightInd w:val="0"/>
              <w:snapToGrid w:val="0"/>
              <w:jc w:val="both"/>
              <w:rPr>
                <w:rFonts w:hint="eastAsia" w:ascii="宋体" w:hAnsi="宋体" w:eastAsia="宋体" w:cs="宋体"/>
                <w:b w:val="0"/>
                <w:bCs w:val="0"/>
                <w:kern w:val="2"/>
                <w:sz w:val="21"/>
                <w:szCs w:val="21"/>
                <w:highlight w:val="none"/>
                <w:lang w:val="en-US" w:eastAsia="zh-CN" w:bidi="ar"/>
              </w:rPr>
            </w:pPr>
            <w:r>
              <w:rPr>
                <w:rFonts w:hint="eastAsia" w:ascii="宋体" w:hAnsi="宋体" w:eastAsia="宋体" w:cs="宋体"/>
                <w:b w:val="0"/>
                <w:bCs w:val="0"/>
                <w:kern w:val="2"/>
                <w:sz w:val="21"/>
                <w:szCs w:val="21"/>
                <w:highlight w:val="none"/>
                <w:lang w:val="en-US" w:eastAsia="zh-CN" w:bidi="ar"/>
              </w:rPr>
              <w:t>如果投标文件由委托代理人签署，则投标人需提交附有法定代表人身份证明的授权委托书，授权委托书应按照规定的书面方式出具，并由法定代表人和委托代理人签字或盖章。</w:t>
            </w:r>
          </w:p>
          <w:p w14:paraId="132FA1A0">
            <w:pPr>
              <w:widowControl/>
              <w:adjustRightInd w:val="0"/>
              <w:snapToGrid w:val="0"/>
              <w:jc w:val="both"/>
              <w:rPr>
                <w:rFonts w:hint="eastAsia" w:ascii="宋体" w:hAnsi="宋体" w:cs="宋体"/>
                <w:highlight w:val="none"/>
              </w:rPr>
            </w:pPr>
            <w:r>
              <w:rPr>
                <w:rFonts w:hint="eastAsia" w:ascii="宋体" w:hAnsi="宋体" w:eastAsia="宋体" w:cs="宋体"/>
                <w:b w:val="0"/>
                <w:bCs w:val="0"/>
                <w:kern w:val="2"/>
                <w:sz w:val="21"/>
                <w:szCs w:val="21"/>
                <w:highlight w:val="none"/>
                <w:lang w:val="en-US" w:eastAsia="zh-CN" w:bidi="ar"/>
              </w:rPr>
              <w:t>如果由投标人的法定代表人签署投标文件，则不需提交授权委托书。</w:t>
            </w:r>
          </w:p>
        </w:tc>
      </w:tr>
      <w:tr w14:paraId="6F6C64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42F8D62">
            <w:pPr>
              <w:widowControl/>
              <w:adjustRightInd w:val="0"/>
              <w:snapToGrid w:val="0"/>
              <w:jc w:val="center"/>
              <w:rPr>
                <w:rFonts w:hint="eastAsia" w:ascii="宋体" w:hAnsi="宋体" w:cs="宋体"/>
                <w:kern w:val="0"/>
                <w:highlight w:val="none"/>
              </w:rPr>
            </w:pPr>
          </w:p>
          <w:p w14:paraId="7D960882">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3.7.4</w:t>
            </w:r>
          </w:p>
        </w:tc>
        <w:tc>
          <w:tcPr>
            <w:tcW w:w="1659" w:type="pct"/>
            <w:vAlign w:val="center"/>
          </w:tcPr>
          <w:p w14:paraId="2062C4C1">
            <w:pPr>
              <w:widowControl/>
              <w:adjustRightInd w:val="0"/>
              <w:snapToGrid w:val="0"/>
              <w:jc w:val="center"/>
              <w:rPr>
                <w:rFonts w:hint="eastAsia" w:ascii="宋体" w:hAnsi="宋体" w:cs="宋体"/>
                <w:kern w:val="0"/>
                <w:highlight w:val="none"/>
              </w:rPr>
            </w:pPr>
          </w:p>
          <w:p w14:paraId="46944A74">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投标文件副本份数</w:t>
            </w:r>
          </w:p>
        </w:tc>
        <w:tc>
          <w:tcPr>
            <w:tcW w:w="2710" w:type="pct"/>
          </w:tcPr>
          <w:p w14:paraId="6E71814A">
            <w:pPr>
              <w:widowControl/>
              <w:jc w:val="left"/>
              <w:rPr>
                <w:rFonts w:hint="eastAsia" w:ascii="宋体" w:hAnsi="宋体" w:cs="宋体"/>
                <w:highlight w:val="none"/>
              </w:rPr>
            </w:pPr>
            <w:r>
              <w:rPr>
                <w:rFonts w:hint="eastAsia" w:ascii="宋体" w:hAnsi="宋体" w:cs="宋体"/>
                <w:highlight w:val="none"/>
              </w:rPr>
              <w:t>正本一份，副本四份，电子版投标文件（U盘一份），电子版投标文件为盖章后的投标文件扫描件。电子文件不得设置密码并保证无病毒。</w:t>
            </w:r>
          </w:p>
          <w:p w14:paraId="4252EC8A">
            <w:pPr>
              <w:widowControl/>
              <w:jc w:val="left"/>
              <w:rPr>
                <w:rFonts w:hint="eastAsia" w:ascii="宋体" w:hAnsi="宋体" w:cs="宋体"/>
                <w:highlight w:val="none"/>
              </w:rPr>
            </w:pPr>
            <w:r>
              <w:rPr>
                <w:rFonts w:hint="eastAsia" w:ascii="宋体" w:hAnsi="宋体" w:cs="宋体"/>
                <w:highlight w:val="none"/>
              </w:rPr>
              <w:t>全套投标文件应无修改和行间插字，如有修改，须在修改处由投标人法定代表人或代理人小签。</w:t>
            </w:r>
          </w:p>
        </w:tc>
      </w:tr>
      <w:tr w14:paraId="16D29D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793F6213">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3.7.5</w:t>
            </w:r>
          </w:p>
        </w:tc>
        <w:tc>
          <w:tcPr>
            <w:tcW w:w="1659" w:type="pct"/>
            <w:vAlign w:val="center"/>
          </w:tcPr>
          <w:p w14:paraId="324481E3">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装订要求</w:t>
            </w:r>
          </w:p>
        </w:tc>
        <w:tc>
          <w:tcPr>
            <w:tcW w:w="2710" w:type="pct"/>
          </w:tcPr>
          <w:p w14:paraId="3158CDAE">
            <w:pPr>
              <w:widowControl/>
              <w:jc w:val="left"/>
              <w:rPr>
                <w:rFonts w:hint="eastAsia" w:ascii="宋体" w:hAnsi="宋体" w:cs="宋体"/>
                <w:highlight w:val="none"/>
              </w:rPr>
            </w:pPr>
            <w:r>
              <w:rPr>
                <w:rFonts w:hint="eastAsia" w:ascii="宋体" w:hAnsi="宋体" w:cs="宋体"/>
                <w:highlight w:val="none"/>
              </w:rPr>
              <w:t>投标文件第一个信封、第二个信封应分正副本装订成册，应编制目录，且逐页标注连续页码。投标文件不得采用活页夹装订。投标文件应编制目录，并标注页码，否则，招标人对由于投标文件装订松散而造成的丢失或其它后果不承担任何责任。每个篇章用彩色纸张隔离，以便查阅。</w:t>
            </w:r>
          </w:p>
        </w:tc>
      </w:tr>
      <w:tr w14:paraId="6D1E55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8836E40">
            <w:pPr>
              <w:widowControl/>
              <w:adjustRightInd w:val="0"/>
              <w:snapToGrid w:val="0"/>
              <w:jc w:val="center"/>
              <w:rPr>
                <w:rFonts w:hint="eastAsia" w:ascii="宋体" w:hAnsi="宋体" w:cs="宋体"/>
                <w:kern w:val="0"/>
                <w:highlight w:val="none"/>
              </w:rPr>
            </w:pPr>
            <w:r>
              <w:rPr>
                <w:rFonts w:ascii="宋体" w:hAnsi="宋体" w:cs="宋体"/>
                <w:kern w:val="0"/>
                <w:highlight w:val="none"/>
              </w:rPr>
              <w:t>4.1.2</w:t>
            </w:r>
          </w:p>
        </w:tc>
        <w:tc>
          <w:tcPr>
            <w:tcW w:w="1659" w:type="pct"/>
            <w:vAlign w:val="center"/>
          </w:tcPr>
          <w:p w14:paraId="4119E72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封套上写明</w:t>
            </w:r>
          </w:p>
        </w:tc>
        <w:tc>
          <w:tcPr>
            <w:tcW w:w="2710" w:type="pct"/>
          </w:tcPr>
          <w:p w14:paraId="47ED4839">
            <w:pPr>
              <w:rPr>
                <w:rFonts w:hint="eastAsia" w:ascii="宋体" w:hAnsi="宋体"/>
                <w:highlight w:val="none"/>
              </w:rPr>
            </w:pPr>
            <w:r>
              <w:rPr>
                <w:rFonts w:hint="eastAsia" w:ascii="宋体" w:hAnsi="宋体"/>
                <w:highlight w:val="none"/>
              </w:rPr>
              <w:t>投标文件第一信封(商务及技术文件)封套：</w:t>
            </w:r>
          </w:p>
          <w:p w14:paraId="65124752">
            <w:pPr>
              <w:rPr>
                <w:rFonts w:hint="eastAsia" w:ascii="宋体" w:hAnsi="宋体"/>
                <w:highlight w:val="none"/>
                <w:u w:val="single"/>
              </w:rPr>
            </w:pPr>
            <w:r>
              <w:rPr>
                <w:rFonts w:hint="eastAsia" w:ascii="宋体" w:hAnsi="宋体"/>
                <w:highlight w:val="none"/>
              </w:rPr>
              <w:t>投标人名称：</w:t>
            </w:r>
            <w:r>
              <w:rPr>
                <w:rFonts w:hint="eastAsia" w:ascii="宋体" w:hAnsi="宋体"/>
                <w:highlight w:val="none"/>
                <w:u w:val="single"/>
              </w:rPr>
              <w:t xml:space="preserve">                </w:t>
            </w:r>
          </w:p>
          <w:p w14:paraId="58A5688A">
            <w:pPr>
              <w:rPr>
                <w:rFonts w:hint="eastAsia" w:ascii="宋体" w:hAnsi="宋体"/>
                <w:highlight w:val="none"/>
              </w:rPr>
            </w:pPr>
            <w:r>
              <w:rPr>
                <w:rFonts w:hint="eastAsia" w:ascii="宋体" w:hAnsi="宋体"/>
                <w:highlight w:val="none"/>
              </w:rPr>
              <w:t>投标人地址：</w:t>
            </w:r>
            <w:r>
              <w:rPr>
                <w:rFonts w:hint="eastAsia" w:ascii="宋体" w:hAnsi="宋体"/>
                <w:highlight w:val="none"/>
                <w:u w:val="single"/>
              </w:rPr>
              <w:t xml:space="preserve">                </w:t>
            </w:r>
          </w:p>
          <w:p w14:paraId="5F1F8904">
            <w:pPr>
              <w:rPr>
                <w:rFonts w:hint="eastAsia" w:ascii="宋体" w:hAnsi="宋体"/>
                <w:highlight w:val="none"/>
              </w:rPr>
            </w:pPr>
            <w:r>
              <w:rPr>
                <w:rFonts w:hint="eastAsia" w:ascii="宋体" w:hAnsi="宋体"/>
                <w:highlight w:val="none"/>
              </w:rPr>
              <w:t>______(项目名称)第一信封(商务及技术文件)投标文件</w:t>
            </w:r>
          </w:p>
          <w:p w14:paraId="409F9762">
            <w:pPr>
              <w:rPr>
                <w:rFonts w:hint="eastAsia" w:ascii="宋体" w:hAnsi="宋体"/>
                <w:highlight w:val="none"/>
              </w:rPr>
            </w:pPr>
            <w:r>
              <w:rPr>
                <w:rFonts w:hint="eastAsia" w:ascii="宋体" w:hAnsi="宋体" w:cs="宋体"/>
                <w:snapToGrid w:val="0"/>
                <w:kern w:val="0"/>
                <w:szCs w:val="21"/>
                <w:highlight w:val="none"/>
              </w:rPr>
              <w:t>在</w:t>
            </w:r>
            <w:r>
              <w:rPr>
                <w:rFonts w:hint="eastAsia" w:ascii="宋体" w:hAnsi="宋体" w:cs="宋体"/>
                <w:snapToGrid w:val="0"/>
                <w:kern w:val="0"/>
                <w:szCs w:val="21"/>
                <w:highlight w:val="none"/>
                <w:u w:val="single"/>
              </w:rPr>
              <w:t xml:space="preserve">     </w:t>
            </w:r>
            <w:r>
              <w:rPr>
                <w:rFonts w:hint="eastAsia" w:ascii="宋体" w:hAnsi="宋体" w:cs="宋体"/>
                <w:snapToGrid w:val="0"/>
                <w:kern w:val="0"/>
                <w:szCs w:val="21"/>
                <w:highlight w:val="none"/>
              </w:rPr>
              <w:t>年</w:t>
            </w:r>
            <w:r>
              <w:rPr>
                <w:rFonts w:hint="eastAsia" w:ascii="宋体" w:hAnsi="宋体" w:cs="宋体"/>
                <w:snapToGrid w:val="0"/>
                <w:kern w:val="0"/>
                <w:szCs w:val="21"/>
                <w:highlight w:val="none"/>
                <w:u w:val="single"/>
              </w:rPr>
              <w:t xml:space="preserve">   </w:t>
            </w:r>
            <w:r>
              <w:rPr>
                <w:rFonts w:hint="eastAsia" w:ascii="宋体" w:hAnsi="宋体" w:cs="宋体"/>
                <w:snapToGrid w:val="0"/>
                <w:kern w:val="0"/>
                <w:szCs w:val="21"/>
                <w:highlight w:val="none"/>
              </w:rPr>
              <w:t>月</w:t>
            </w:r>
            <w:r>
              <w:rPr>
                <w:rFonts w:hint="eastAsia" w:ascii="宋体" w:hAnsi="宋体" w:cs="宋体"/>
                <w:snapToGrid w:val="0"/>
                <w:kern w:val="0"/>
                <w:szCs w:val="21"/>
                <w:highlight w:val="none"/>
                <w:u w:val="single"/>
              </w:rPr>
              <w:t xml:space="preserve">    </w:t>
            </w:r>
            <w:r>
              <w:rPr>
                <w:rFonts w:hint="eastAsia" w:ascii="宋体" w:hAnsi="宋体" w:cs="宋体"/>
                <w:snapToGrid w:val="0"/>
                <w:kern w:val="0"/>
                <w:szCs w:val="21"/>
                <w:highlight w:val="none"/>
              </w:rPr>
              <w:t>日</w:t>
            </w:r>
            <w:r>
              <w:rPr>
                <w:rFonts w:hint="eastAsia" w:ascii="宋体" w:hAnsi="宋体" w:cs="宋体"/>
                <w:snapToGrid w:val="0"/>
                <w:kern w:val="0"/>
                <w:szCs w:val="21"/>
                <w:highlight w:val="none"/>
                <w:u w:val="single"/>
              </w:rPr>
              <w:t xml:space="preserve">   </w:t>
            </w:r>
            <w:r>
              <w:rPr>
                <w:rFonts w:hint="eastAsia" w:ascii="宋体" w:hAnsi="宋体" w:cs="宋体"/>
                <w:snapToGrid w:val="0"/>
                <w:kern w:val="0"/>
                <w:szCs w:val="21"/>
                <w:highlight w:val="none"/>
              </w:rPr>
              <w:t>时</w:t>
            </w:r>
            <w:r>
              <w:rPr>
                <w:rFonts w:hint="eastAsia" w:ascii="宋体" w:hAnsi="宋体" w:cs="宋体"/>
                <w:snapToGrid w:val="0"/>
                <w:kern w:val="0"/>
                <w:szCs w:val="21"/>
                <w:highlight w:val="none"/>
                <w:u w:val="single"/>
              </w:rPr>
              <w:t xml:space="preserve">   </w:t>
            </w:r>
            <w:r>
              <w:rPr>
                <w:rFonts w:hint="eastAsia" w:ascii="宋体" w:hAnsi="宋体" w:cs="宋体"/>
                <w:snapToGrid w:val="0"/>
                <w:kern w:val="0"/>
                <w:szCs w:val="21"/>
                <w:highlight w:val="none"/>
              </w:rPr>
              <w:t>分（即投标截止时间）前不得开启</w:t>
            </w:r>
          </w:p>
          <w:p w14:paraId="3642F484">
            <w:pPr>
              <w:rPr>
                <w:rFonts w:hint="eastAsia" w:ascii="宋体" w:hAnsi="宋体"/>
                <w:highlight w:val="none"/>
              </w:rPr>
            </w:pPr>
            <w:r>
              <w:rPr>
                <w:rFonts w:hint="eastAsia" w:ascii="宋体" w:hAnsi="宋体"/>
                <w:highlight w:val="none"/>
              </w:rPr>
              <w:t>投标文件第二信封(报价文件)封套：</w:t>
            </w:r>
          </w:p>
          <w:p w14:paraId="40CCFC55">
            <w:pPr>
              <w:rPr>
                <w:rFonts w:hint="eastAsia" w:ascii="宋体" w:hAnsi="宋体"/>
                <w:highlight w:val="none"/>
              </w:rPr>
            </w:pPr>
            <w:r>
              <w:rPr>
                <w:rFonts w:hint="eastAsia" w:ascii="宋体" w:hAnsi="宋体"/>
                <w:highlight w:val="none"/>
              </w:rPr>
              <w:t>投标人名称：</w:t>
            </w:r>
            <w:r>
              <w:rPr>
                <w:rFonts w:hint="eastAsia" w:ascii="宋体" w:hAnsi="宋体"/>
                <w:highlight w:val="none"/>
                <w:u w:val="single"/>
              </w:rPr>
              <w:t xml:space="preserve">                </w:t>
            </w:r>
          </w:p>
          <w:p w14:paraId="6EB61E9F">
            <w:pPr>
              <w:rPr>
                <w:rFonts w:hint="eastAsia" w:ascii="宋体" w:hAnsi="宋体"/>
                <w:highlight w:val="none"/>
              </w:rPr>
            </w:pPr>
            <w:r>
              <w:rPr>
                <w:rFonts w:hint="eastAsia" w:ascii="宋体" w:hAnsi="宋体"/>
                <w:highlight w:val="none"/>
              </w:rPr>
              <w:t>投标人地址：</w:t>
            </w:r>
            <w:r>
              <w:rPr>
                <w:rFonts w:hint="eastAsia" w:ascii="宋体" w:hAnsi="宋体"/>
                <w:highlight w:val="none"/>
                <w:u w:val="single"/>
              </w:rPr>
              <w:t xml:space="preserve">                </w:t>
            </w:r>
          </w:p>
          <w:p w14:paraId="46DB4823">
            <w:pPr>
              <w:rPr>
                <w:rFonts w:hint="eastAsia" w:ascii="宋体" w:hAnsi="宋体"/>
                <w:highlight w:val="none"/>
              </w:rPr>
            </w:pPr>
            <w:r>
              <w:rPr>
                <w:rFonts w:hint="eastAsia" w:ascii="宋体" w:hAnsi="宋体"/>
                <w:highlight w:val="none"/>
              </w:rPr>
              <w:t>______(项目名称)第二信封(报价文件)投标文件</w:t>
            </w:r>
          </w:p>
          <w:p w14:paraId="7DE7241B">
            <w:pPr>
              <w:autoSpaceDE w:val="0"/>
              <w:autoSpaceDN w:val="0"/>
              <w:adjustRightInd w:val="0"/>
              <w:snapToGrid w:val="0"/>
              <w:spacing w:line="260" w:lineRule="exact"/>
              <w:ind w:left="80" w:leftChars="38" w:right="46"/>
              <w:rPr>
                <w:rFonts w:hint="eastAsia" w:ascii="宋体" w:hAnsi="宋体" w:cs="宋体"/>
                <w:snapToGrid w:val="0"/>
                <w:kern w:val="0"/>
                <w:szCs w:val="21"/>
                <w:highlight w:val="none"/>
              </w:rPr>
            </w:pPr>
            <w:r>
              <w:rPr>
                <w:rFonts w:hint="eastAsia" w:ascii="宋体" w:hAnsi="宋体"/>
                <w:snapToGrid w:val="0"/>
                <w:szCs w:val="21"/>
                <w:highlight w:val="none"/>
              </w:rPr>
              <w:t>在投标文件第一个信封（</w:t>
            </w:r>
            <w:r>
              <w:rPr>
                <w:rFonts w:hint="eastAsia" w:ascii="宋体" w:hAnsi="宋体"/>
                <w:highlight w:val="none"/>
              </w:rPr>
              <w:t>商务及技术文件</w:t>
            </w:r>
            <w:r>
              <w:rPr>
                <w:rFonts w:hint="eastAsia" w:ascii="宋体" w:hAnsi="宋体"/>
                <w:snapToGrid w:val="0"/>
                <w:szCs w:val="21"/>
                <w:highlight w:val="none"/>
              </w:rPr>
              <w:t>）评审结束前不得开启</w:t>
            </w:r>
          </w:p>
          <w:p w14:paraId="0C5F354A">
            <w:pPr>
              <w:widowControl/>
              <w:jc w:val="left"/>
              <w:rPr>
                <w:rFonts w:hint="eastAsia" w:ascii="宋体" w:hAnsi="宋体" w:cs="宋体"/>
                <w:highlight w:val="none"/>
              </w:rPr>
            </w:pPr>
            <w:r>
              <w:rPr>
                <w:rFonts w:hint="eastAsia" w:ascii="宋体" w:hAnsi="宋体" w:cs="宋体"/>
                <w:b/>
                <w:snapToGrid w:val="0"/>
                <w:kern w:val="0"/>
                <w:szCs w:val="21"/>
                <w:highlight w:val="none"/>
              </w:rPr>
              <w:t>注：未按要求密封和加写标记的投标文件，招标人不予受理。因密封不严、标记不明而造成投标文件过早启封、失密等情况，招标人概不负责。</w:t>
            </w:r>
          </w:p>
        </w:tc>
      </w:tr>
      <w:tr w14:paraId="3519F7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141F291">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4.2.2</w:t>
            </w:r>
          </w:p>
        </w:tc>
        <w:tc>
          <w:tcPr>
            <w:tcW w:w="1659" w:type="pct"/>
            <w:vAlign w:val="center"/>
          </w:tcPr>
          <w:p w14:paraId="1021BBE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递交投标文件地点</w:t>
            </w:r>
          </w:p>
        </w:tc>
        <w:tc>
          <w:tcPr>
            <w:tcW w:w="2710" w:type="pct"/>
            <w:vAlign w:val="center"/>
          </w:tcPr>
          <w:p w14:paraId="35491682">
            <w:pPr>
              <w:widowControl/>
              <w:jc w:val="left"/>
              <w:rPr>
                <w:rFonts w:hint="eastAsia" w:ascii="宋体" w:hAnsi="宋体" w:cs="宋体"/>
                <w:highlight w:val="none"/>
              </w:rPr>
            </w:pPr>
            <w:r>
              <w:rPr>
                <w:rFonts w:hint="eastAsia" w:ascii="宋体" w:hAnsi="宋体" w:cs="宋体"/>
                <w:highlight w:val="none"/>
              </w:rPr>
              <w:t>详见招标公告及补遗书</w:t>
            </w:r>
          </w:p>
        </w:tc>
      </w:tr>
      <w:tr w14:paraId="70EABC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E2547EE">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4.2.3</w:t>
            </w:r>
          </w:p>
        </w:tc>
        <w:tc>
          <w:tcPr>
            <w:tcW w:w="1659" w:type="pct"/>
            <w:vAlign w:val="center"/>
          </w:tcPr>
          <w:p w14:paraId="6676EC4B">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是否退还投标文件</w:t>
            </w:r>
          </w:p>
        </w:tc>
        <w:tc>
          <w:tcPr>
            <w:tcW w:w="2710" w:type="pct"/>
          </w:tcPr>
          <w:p w14:paraId="44C89E83">
            <w:pPr>
              <w:widowControl/>
              <w:jc w:val="left"/>
              <w:rPr>
                <w:rFonts w:hint="eastAsia" w:ascii="宋体" w:hAnsi="宋体" w:cs="宋体"/>
                <w:highlight w:val="none"/>
              </w:rPr>
            </w:pPr>
            <w:r>
              <w:rPr>
                <w:rFonts w:hint="eastAsia" w:ascii="宋体" w:hAnsi="宋体" w:cs="宋体"/>
                <w:highlight w:val="none"/>
              </w:rPr>
              <w:t>□是</w:t>
            </w:r>
          </w:p>
          <w:p w14:paraId="662BBB21">
            <w:pPr>
              <w:widowControl/>
              <w:jc w:val="left"/>
              <w:rPr>
                <w:rFonts w:hint="eastAsia" w:ascii="宋体" w:hAnsi="宋体" w:cs="宋体"/>
                <w:highlight w:val="none"/>
              </w:rPr>
            </w:pPr>
            <w:r>
              <w:rPr>
                <w:rFonts w:hint="eastAsia" w:ascii="宋体" w:hAnsi="宋体"/>
                <w:highlight w:val="none"/>
              </w:rPr>
              <w:t>☑</w:t>
            </w:r>
            <w:r>
              <w:rPr>
                <w:rFonts w:hint="eastAsia" w:ascii="宋体" w:hAnsi="宋体" w:cs="宋体"/>
                <w:highlight w:val="none"/>
              </w:rPr>
              <w:t>否</w:t>
            </w:r>
          </w:p>
        </w:tc>
      </w:tr>
      <w:tr w14:paraId="48747F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2" w:hRule="atLeast"/>
          <w:jc w:val="center"/>
        </w:trPr>
        <w:tc>
          <w:tcPr>
            <w:tcW w:w="629" w:type="pct"/>
            <w:vAlign w:val="center"/>
          </w:tcPr>
          <w:p w14:paraId="0A052805">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5.1</w:t>
            </w:r>
          </w:p>
        </w:tc>
        <w:tc>
          <w:tcPr>
            <w:tcW w:w="1659" w:type="pct"/>
            <w:vAlign w:val="center"/>
          </w:tcPr>
          <w:p w14:paraId="07858F9A">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开标时间和地点</w:t>
            </w:r>
          </w:p>
        </w:tc>
        <w:tc>
          <w:tcPr>
            <w:tcW w:w="2710" w:type="pct"/>
            <w:vAlign w:val="center"/>
          </w:tcPr>
          <w:p w14:paraId="767A899A">
            <w:pPr>
              <w:widowControl/>
              <w:jc w:val="left"/>
              <w:rPr>
                <w:rFonts w:hint="eastAsia" w:ascii="宋体" w:hAnsi="宋体" w:cs="宋体"/>
                <w:highlight w:val="none"/>
              </w:rPr>
            </w:pPr>
            <w:r>
              <w:rPr>
                <w:rFonts w:hint="eastAsia" w:ascii="宋体" w:hAnsi="宋体" w:cs="宋体"/>
                <w:highlight w:val="none"/>
              </w:rPr>
              <w:t>详见招标公告及补遗书</w:t>
            </w:r>
          </w:p>
        </w:tc>
      </w:tr>
      <w:tr w14:paraId="380899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1" w:hRule="atLeast"/>
          <w:jc w:val="center"/>
        </w:trPr>
        <w:tc>
          <w:tcPr>
            <w:tcW w:w="629" w:type="pct"/>
            <w:vAlign w:val="center"/>
          </w:tcPr>
          <w:p w14:paraId="5FC73AB8">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5.2.1</w:t>
            </w:r>
          </w:p>
        </w:tc>
        <w:tc>
          <w:tcPr>
            <w:tcW w:w="1659" w:type="pct"/>
            <w:vAlign w:val="center"/>
          </w:tcPr>
          <w:p w14:paraId="1F838BBB">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开标程序</w:t>
            </w:r>
          </w:p>
        </w:tc>
        <w:tc>
          <w:tcPr>
            <w:tcW w:w="2710" w:type="pct"/>
            <w:vAlign w:val="center"/>
          </w:tcPr>
          <w:p w14:paraId="4A7D58CC">
            <w:pPr>
              <w:autoSpaceDE w:val="0"/>
              <w:autoSpaceDN w:val="0"/>
              <w:adjustRightInd w:val="0"/>
              <w:snapToGrid w:val="0"/>
              <w:spacing w:line="260" w:lineRule="exact"/>
              <w:ind w:left="142" w:right="-20"/>
              <w:rPr>
                <w:rFonts w:hint="eastAsia" w:ascii="宋体" w:hAnsi="宋体" w:cs="宋体"/>
                <w:color w:val="auto"/>
                <w:kern w:val="0"/>
                <w:szCs w:val="21"/>
                <w:highlight w:val="none"/>
              </w:rPr>
            </w:pPr>
            <w:r>
              <w:rPr>
                <w:rFonts w:hint="eastAsia" w:ascii="宋体" w:hAnsi="宋体" w:cs="宋体"/>
                <w:color w:val="auto"/>
                <w:kern w:val="0"/>
                <w:szCs w:val="21"/>
                <w:highlight w:val="none"/>
              </w:rPr>
              <w:t>（1）密封情况检查：</w:t>
            </w:r>
          </w:p>
          <w:p w14:paraId="5E2179BD">
            <w:pPr>
              <w:autoSpaceDE w:val="0"/>
              <w:autoSpaceDN w:val="0"/>
              <w:adjustRightInd w:val="0"/>
              <w:snapToGrid w:val="0"/>
              <w:spacing w:line="260" w:lineRule="exact"/>
              <w:ind w:left="142" w:right="-20"/>
              <w:rPr>
                <w:rFonts w:hint="eastAsia" w:ascii="宋体" w:hAnsi="宋体" w:cs="宋体"/>
                <w:color w:val="auto"/>
                <w:kern w:val="0"/>
                <w:szCs w:val="21"/>
                <w:highlight w:val="none"/>
              </w:rPr>
            </w:pPr>
            <w:r>
              <w:rPr>
                <w:rFonts w:hint="eastAsia" w:ascii="宋体" w:hAnsi="宋体" w:cs="宋体"/>
                <w:color w:val="auto"/>
                <w:kern w:val="0"/>
                <w:szCs w:val="21"/>
                <w:highlight w:val="none"/>
              </w:rPr>
              <w:t>由□行政监督部门□公证部门</w:t>
            </w:r>
            <w:r>
              <w:rPr>
                <w:rFonts w:hint="eastAsia" w:ascii="宋体" w:hAnsi="宋体" w:cs="宋体"/>
                <w:color w:val="auto"/>
                <w:kern w:val="0"/>
                <w:szCs w:val="21"/>
                <w:highlight w:val="none"/>
                <w:bdr w:val="single" w:color="auto" w:sz="4" w:space="0"/>
              </w:rPr>
              <w:t>√</w:t>
            </w:r>
            <w:r>
              <w:rPr>
                <w:rFonts w:hint="eastAsia" w:ascii="宋体" w:hAnsi="宋体" w:cs="宋体"/>
                <w:color w:val="auto"/>
                <w:kern w:val="0"/>
                <w:szCs w:val="21"/>
                <w:highlight w:val="none"/>
              </w:rPr>
              <w:t>投标人的代表按照4.1款规定检查投标文件的密封情况；</w:t>
            </w:r>
          </w:p>
          <w:p w14:paraId="62DD05C6">
            <w:pPr>
              <w:autoSpaceDE w:val="0"/>
              <w:autoSpaceDN w:val="0"/>
              <w:adjustRightInd w:val="0"/>
              <w:snapToGrid w:val="0"/>
              <w:spacing w:line="260" w:lineRule="exact"/>
              <w:ind w:left="142" w:right="-20"/>
              <w:rPr>
                <w:rFonts w:hint="eastAsia" w:ascii="宋体" w:hAnsi="宋体" w:cs="宋体"/>
                <w:color w:val="auto"/>
                <w:kern w:val="0"/>
                <w:szCs w:val="21"/>
                <w:highlight w:val="none"/>
              </w:rPr>
            </w:pPr>
            <w:r>
              <w:rPr>
                <w:rFonts w:hint="eastAsia" w:ascii="宋体" w:hAnsi="宋体" w:cs="宋体"/>
                <w:color w:val="auto"/>
                <w:kern w:val="0"/>
                <w:szCs w:val="21"/>
                <w:highlight w:val="none"/>
              </w:rPr>
              <w:t>（2）投标人的法定代表人或其委托代理人不参加开标的，视同该投标人承认开标记录，不得事后对开标程序和记录提出任何异议；</w:t>
            </w:r>
          </w:p>
          <w:p w14:paraId="534328EC">
            <w:pPr>
              <w:widowControl/>
              <w:jc w:val="left"/>
              <w:rPr>
                <w:rFonts w:hint="eastAsia" w:ascii="宋体" w:hAnsi="宋体" w:cs="宋体"/>
                <w:highlight w:val="none"/>
              </w:rPr>
            </w:pPr>
            <w:r>
              <w:rPr>
                <w:rFonts w:hint="eastAsia" w:ascii="宋体" w:hAnsi="宋体" w:cs="宋体"/>
                <w:color w:val="auto"/>
                <w:kern w:val="0"/>
                <w:szCs w:val="21"/>
                <w:highlight w:val="none"/>
              </w:rPr>
              <w:t>（3）开标顺序：随机。</w:t>
            </w:r>
          </w:p>
        </w:tc>
      </w:tr>
      <w:tr w14:paraId="7EE538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2E3BD3A9">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6.1.1</w:t>
            </w:r>
          </w:p>
        </w:tc>
        <w:tc>
          <w:tcPr>
            <w:tcW w:w="1659" w:type="pct"/>
            <w:vAlign w:val="center"/>
          </w:tcPr>
          <w:p w14:paraId="01647BBD">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评标委员会的组建</w:t>
            </w:r>
          </w:p>
        </w:tc>
        <w:tc>
          <w:tcPr>
            <w:tcW w:w="2710" w:type="pct"/>
          </w:tcPr>
          <w:p w14:paraId="27E1A450">
            <w:pPr>
              <w:widowControl/>
              <w:jc w:val="left"/>
              <w:rPr>
                <w:rFonts w:hint="eastAsia" w:ascii="宋体" w:hAnsi="宋体" w:cs="宋体"/>
                <w:highlight w:val="none"/>
              </w:rPr>
            </w:pPr>
            <w:r>
              <w:rPr>
                <w:rFonts w:hint="eastAsia" w:ascii="宋体" w:hAnsi="宋体" w:cs="宋体"/>
                <w:highlight w:val="none"/>
              </w:rPr>
              <w:t>评标委员会构成：5人或5人以上单数；其中招标人代表不超过1/3，专家不少于2/3。</w:t>
            </w:r>
          </w:p>
          <w:p w14:paraId="78DDB183">
            <w:pPr>
              <w:widowControl/>
              <w:jc w:val="left"/>
              <w:rPr>
                <w:rFonts w:hint="eastAsia" w:ascii="宋体" w:hAnsi="宋体" w:cs="宋体"/>
                <w:highlight w:val="none"/>
              </w:rPr>
            </w:pPr>
            <w:r>
              <w:rPr>
                <w:rFonts w:hint="eastAsia" w:ascii="宋体" w:hAnsi="宋体" w:cs="宋体"/>
                <w:highlight w:val="none"/>
              </w:rPr>
              <w:t>评标专家确定方式：由招标人组建。</w:t>
            </w:r>
          </w:p>
        </w:tc>
      </w:tr>
      <w:tr w14:paraId="50F7EC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7E84FE60">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7.1</w:t>
            </w:r>
          </w:p>
        </w:tc>
        <w:tc>
          <w:tcPr>
            <w:tcW w:w="1659" w:type="pct"/>
            <w:vAlign w:val="center"/>
          </w:tcPr>
          <w:p w14:paraId="3BF88E8A">
            <w:pPr>
              <w:autoSpaceDE w:val="0"/>
              <w:autoSpaceDN w:val="0"/>
              <w:adjustRightInd w:val="0"/>
              <w:snapToGrid w:val="0"/>
              <w:jc w:val="center"/>
              <w:rPr>
                <w:rFonts w:hint="eastAsia" w:ascii="宋体" w:hAnsi="宋体" w:cs="宋体"/>
                <w:kern w:val="0"/>
                <w:highlight w:val="none"/>
              </w:rPr>
            </w:pPr>
            <w:r>
              <w:rPr>
                <w:rFonts w:hint="eastAsia" w:ascii="宋体" w:hAnsi="宋体" w:cs="宋体"/>
                <w:kern w:val="0"/>
                <w:highlight w:val="none"/>
              </w:rPr>
              <w:t>是否授权评标委员会确定中标人</w:t>
            </w:r>
          </w:p>
        </w:tc>
        <w:tc>
          <w:tcPr>
            <w:tcW w:w="2710" w:type="pct"/>
            <w:vAlign w:val="center"/>
          </w:tcPr>
          <w:p w14:paraId="151B0281">
            <w:pPr>
              <w:widowControl/>
              <w:adjustRightInd w:val="0"/>
              <w:snapToGrid w:val="0"/>
              <w:jc w:val="left"/>
              <w:rPr>
                <w:rFonts w:hint="eastAsia" w:ascii="宋体" w:hAnsi="宋体"/>
                <w:highlight w:val="none"/>
              </w:rPr>
            </w:pPr>
            <w:r>
              <w:rPr>
                <w:rFonts w:hint="eastAsia" w:ascii="宋体" w:hAnsi="宋体"/>
                <w:highlight w:val="none"/>
              </w:rPr>
              <w:t>□是</w:t>
            </w:r>
          </w:p>
          <w:p w14:paraId="4D5C7DF0">
            <w:pPr>
              <w:widowControl/>
              <w:adjustRightInd w:val="0"/>
              <w:snapToGrid w:val="0"/>
              <w:jc w:val="left"/>
              <w:rPr>
                <w:rFonts w:hint="eastAsia" w:ascii="宋体" w:hAnsi="宋体"/>
                <w:highlight w:val="none"/>
              </w:rPr>
            </w:pPr>
            <w:r>
              <w:rPr>
                <w:rFonts w:hint="eastAsia" w:ascii="宋体" w:hAnsi="宋体"/>
                <w:highlight w:val="none"/>
              </w:rPr>
              <w:t>☑否</w:t>
            </w:r>
          </w:p>
          <w:p w14:paraId="5C883A85">
            <w:pPr>
              <w:widowControl/>
              <w:adjustRightInd w:val="0"/>
              <w:snapToGrid w:val="0"/>
              <w:jc w:val="left"/>
              <w:rPr>
                <w:rFonts w:hint="eastAsia" w:ascii="宋体" w:hAnsi="宋体" w:cs="宋体"/>
                <w:kern w:val="0"/>
                <w:highlight w:val="none"/>
              </w:rPr>
            </w:pPr>
            <w:r>
              <w:rPr>
                <w:rFonts w:hint="eastAsia" w:ascii="宋体" w:hAnsi="宋体" w:cs="宋体"/>
                <w:kern w:val="0"/>
                <w:highlight w:val="none"/>
              </w:rPr>
              <w:t>推荐的中标候选人的人数为3名，若有效投标人不足3家的，则推荐的中标候选人的数量为有效投标人的数量。</w:t>
            </w:r>
          </w:p>
        </w:tc>
      </w:tr>
      <w:tr w14:paraId="524971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9058291">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7.3.1</w:t>
            </w:r>
          </w:p>
        </w:tc>
        <w:tc>
          <w:tcPr>
            <w:tcW w:w="1659" w:type="pct"/>
            <w:vAlign w:val="center"/>
          </w:tcPr>
          <w:p w14:paraId="11590F56">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履约保证金</w:t>
            </w:r>
          </w:p>
        </w:tc>
        <w:tc>
          <w:tcPr>
            <w:tcW w:w="2710" w:type="pct"/>
            <w:vAlign w:val="center"/>
          </w:tcPr>
          <w:p w14:paraId="15DD6010">
            <w:pPr>
              <w:widowControl/>
              <w:adjustRightInd w:val="0"/>
              <w:snapToGrid w:val="0"/>
              <w:jc w:val="left"/>
              <w:rPr>
                <w:highlight w:val="none"/>
                <w:lang w:val="zh-CN"/>
              </w:rPr>
            </w:pPr>
            <w:r>
              <w:rPr>
                <w:rFonts w:hint="eastAsia"/>
                <w:highlight w:val="none"/>
                <w:lang w:val="zh-CN"/>
              </w:rPr>
              <w:t>是否要求中标人提交履约保证金：</w:t>
            </w:r>
          </w:p>
          <w:p w14:paraId="6CB98860">
            <w:pPr>
              <w:widowControl/>
              <w:adjustRightInd w:val="0"/>
              <w:snapToGrid w:val="0"/>
              <w:jc w:val="left"/>
              <w:rPr>
                <w:highlight w:val="none"/>
                <w:lang w:val="zh-CN"/>
              </w:rPr>
            </w:pPr>
            <w:r>
              <w:rPr>
                <w:rFonts w:hint="eastAsia" w:ascii="宋体" w:hAnsi="宋体"/>
                <w:highlight w:val="none"/>
              </w:rPr>
              <w:t>☑</w:t>
            </w:r>
            <w:r>
              <w:rPr>
                <w:rFonts w:hint="eastAsia"/>
                <w:highlight w:val="none"/>
                <w:lang w:val="zh-CN"/>
              </w:rPr>
              <w:t>要求，</w:t>
            </w:r>
            <w:r>
              <w:rPr>
                <w:rFonts w:hint="eastAsia" w:ascii="Garamond" w:hAnsi="Garamond" w:cs="宋体"/>
                <w:highlight w:val="none"/>
                <w:lang w:val="zh-CN"/>
              </w:rPr>
              <w:t>履约保证金的形式：</w:t>
            </w:r>
            <w:r>
              <w:rPr>
                <w:rFonts w:hint="eastAsia"/>
                <w:highlight w:val="none"/>
                <w:lang w:val="zh-CN"/>
              </w:rPr>
              <w:t>不限。</w:t>
            </w:r>
          </w:p>
          <w:p w14:paraId="0C7E2DB4">
            <w:pPr>
              <w:widowControl/>
              <w:adjustRightInd w:val="0"/>
              <w:snapToGrid w:val="0"/>
              <w:jc w:val="left"/>
              <w:rPr>
                <w:rFonts w:hint="eastAsia" w:eastAsia="宋体"/>
                <w:highlight w:val="none"/>
                <w:lang w:val="en-US" w:eastAsia="zh-CN"/>
              </w:rPr>
            </w:pPr>
            <w:r>
              <w:rPr>
                <w:rFonts w:hint="eastAsia"/>
                <w:highlight w:val="none"/>
                <w:lang w:val="zh-CN"/>
              </w:rPr>
              <w:t>履约保证金的金额：5%签约合同价，</w:t>
            </w:r>
            <w:r>
              <w:rPr>
                <w:rFonts w:hint="eastAsia" w:ascii="宋体" w:hAnsi="宋体" w:cs="宋体"/>
                <w:highlight w:val="none"/>
              </w:rPr>
              <w:t>投标文件递交截止日当天，投标人在最近一次江苏省公路水路建设市场从业单位信用评定结果中的信用等级被评为AA级或被列入最近一次江苏省公路水运建设市场守信激励主体对象名单（红名单）的履约保证金减少50％。（从业单位在本省无信用评价记录的，信用等级按省交通运输厅关于印发《江苏省公路水运建设市场信用信息管理办法》的通知 苏交规〔2024〕6号文件执行。信用类别：施工；以截止递交投标文件当日查询信息为准。</w:t>
            </w:r>
            <w:r>
              <w:rPr>
                <w:rFonts w:hint="eastAsia" w:ascii="宋体" w:hAnsi="宋体" w:cs="宋体"/>
                <w:highlight w:val="none"/>
                <w:lang w:val="en-US" w:eastAsia="zh-CN"/>
              </w:rPr>
              <w:t>)</w:t>
            </w:r>
          </w:p>
          <w:p w14:paraId="685D2BBA">
            <w:pPr>
              <w:pStyle w:val="20"/>
              <w:spacing w:after="0"/>
              <w:rPr>
                <w:highlight w:val="none"/>
                <w:lang w:val="zh-CN"/>
              </w:rPr>
            </w:pPr>
            <w:r>
              <w:rPr>
                <w:rFonts w:hint="eastAsia"/>
                <w:highlight w:val="none"/>
                <w:lang w:val="zh-CN"/>
              </w:rPr>
              <w:t>采用银行保函时，出具保函的银行级别：支行及以上级别的国有或股份制商业银行。</w:t>
            </w:r>
          </w:p>
          <w:p w14:paraId="54DFAC81">
            <w:pPr>
              <w:rPr>
                <w:b/>
                <w:highlight w:val="none"/>
                <w:lang w:val="zh-CN"/>
              </w:rPr>
            </w:pPr>
            <w:r>
              <w:rPr>
                <w:rFonts w:hint="eastAsia"/>
                <w:b/>
                <w:highlight w:val="none"/>
                <w:lang w:val="zh-CN"/>
              </w:rPr>
              <w:t>履约保证金提交至</w:t>
            </w:r>
            <w:r>
              <w:rPr>
                <w:rFonts w:hint="eastAsia"/>
                <w:b/>
                <w:highlight w:val="none"/>
              </w:rPr>
              <w:t>招标人开户银行的账号。</w:t>
            </w:r>
          </w:p>
          <w:p w14:paraId="3861D507">
            <w:pPr>
              <w:rPr>
                <w:highlight w:val="none"/>
              </w:rPr>
            </w:pPr>
            <w:r>
              <w:rPr>
                <w:rFonts w:hint="eastAsia"/>
                <w:highlight w:val="none"/>
                <w:lang w:val="zh-CN"/>
              </w:rPr>
              <w:t>□不要求</w:t>
            </w:r>
          </w:p>
        </w:tc>
      </w:tr>
      <w:tr w14:paraId="4C06C9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02B89B9">
            <w:pPr>
              <w:widowControl/>
              <w:adjustRightInd w:val="0"/>
              <w:snapToGrid w:val="0"/>
              <w:jc w:val="center"/>
              <w:rPr>
                <w:rFonts w:hint="eastAsia" w:ascii="宋体" w:hAnsi="宋体" w:cs="宋体"/>
                <w:kern w:val="0"/>
                <w:highlight w:val="none"/>
              </w:rPr>
            </w:pPr>
            <w:r>
              <w:rPr>
                <w:rFonts w:ascii="宋体" w:hAnsi="宋体" w:cs="宋体"/>
                <w:kern w:val="0"/>
                <w:highlight w:val="none"/>
              </w:rPr>
              <w:t>7.4.3</w:t>
            </w:r>
          </w:p>
        </w:tc>
        <w:tc>
          <w:tcPr>
            <w:tcW w:w="1659" w:type="pct"/>
            <w:vAlign w:val="center"/>
          </w:tcPr>
          <w:p w14:paraId="1C1A7275">
            <w:pPr>
              <w:widowControl/>
              <w:adjustRightInd w:val="0"/>
              <w:snapToGrid w:val="0"/>
              <w:jc w:val="center"/>
              <w:rPr>
                <w:rFonts w:hint="eastAsia" w:ascii="宋体" w:hAnsi="宋体" w:cs="宋体"/>
                <w:kern w:val="0"/>
                <w:highlight w:val="none"/>
              </w:rPr>
            </w:pPr>
            <w:r>
              <w:rPr>
                <w:rFonts w:hint="eastAsia" w:ascii="宋体" w:hAnsi="宋体" w:cs="宋体"/>
                <w:kern w:val="0"/>
                <w:highlight w:val="none"/>
              </w:rPr>
              <w:t>签订合同</w:t>
            </w:r>
          </w:p>
        </w:tc>
        <w:tc>
          <w:tcPr>
            <w:tcW w:w="2710" w:type="pct"/>
            <w:vAlign w:val="center"/>
          </w:tcPr>
          <w:p w14:paraId="7C077615">
            <w:pPr>
              <w:widowControl/>
              <w:adjustRightInd w:val="0"/>
              <w:snapToGrid w:val="0"/>
              <w:jc w:val="left"/>
              <w:rPr>
                <w:highlight w:val="none"/>
                <w:lang w:val="zh-CN"/>
              </w:rPr>
            </w:pPr>
            <w:r>
              <w:rPr>
                <w:rFonts w:hint="eastAsia"/>
                <w:highlight w:val="none"/>
                <w:lang w:val="zh-CN"/>
              </w:rPr>
              <w:t>在签订合同的同时，应签订相应的廉洁合同和安全生产合同。</w:t>
            </w:r>
          </w:p>
        </w:tc>
      </w:tr>
      <w:tr w14:paraId="29112D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74B331D7">
            <w:pPr>
              <w:widowControl/>
              <w:adjustRightInd w:val="0"/>
              <w:snapToGrid w:val="0"/>
              <w:jc w:val="center"/>
              <w:rPr>
                <w:rFonts w:hint="eastAsia" w:ascii="宋体" w:hAnsi="宋体" w:cs="宋体"/>
                <w:b/>
                <w:bCs/>
                <w:kern w:val="0"/>
                <w:highlight w:val="none"/>
              </w:rPr>
            </w:pPr>
            <w:r>
              <w:rPr>
                <w:rFonts w:ascii="宋体" w:hAnsi="宋体" w:cs="宋体"/>
                <w:b/>
                <w:bCs/>
                <w:kern w:val="0"/>
                <w:highlight w:val="none"/>
              </w:rPr>
              <w:t>10</w:t>
            </w:r>
          </w:p>
        </w:tc>
        <w:tc>
          <w:tcPr>
            <w:tcW w:w="4370" w:type="pct"/>
            <w:gridSpan w:val="2"/>
            <w:vAlign w:val="center"/>
          </w:tcPr>
          <w:p w14:paraId="796B4A84">
            <w:pPr>
              <w:widowControl/>
              <w:adjustRightInd w:val="0"/>
              <w:snapToGrid w:val="0"/>
              <w:jc w:val="left"/>
              <w:rPr>
                <w:b/>
                <w:bCs/>
                <w:highlight w:val="none"/>
                <w:lang w:val="zh-CN"/>
              </w:rPr>
            </w:pPr>
            <w:r>
              <w:rPr>
                <w:rFonts w:hint="eastAsia" w:ascii="宋体" w:hAnsi="宋体" w:cs="宋体"/>
                <w:b/>
                <w:bCs/>
                <w:kern w:val="0"/>
                <w:highlight w:val="none"/>
              </w:rPr>
              <w:t>需要补充的其他内容</w:t>
            </w:r>
          </w:p>
        </w:tc>
      </w:tr>
      <w:tr w14:paraId="529321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21" w:hRule="atLeast"/>
          <w:jc w:val="center"/>
        </w:trPr>
        <w:tc>
          <w:tcPr>
            <w:tcW w:w="629" w:type="pct"/>
            <w:vAlign w:val="center"/>
          </w:tcPr>
          <w:p w14:paraId="1814B1E4">
            <w:pPr>
              <w:widowControl/>
              <w:adjustRightInd w:val="0"/>
              <w:snapToGrid w:val="0"/>
              <w:jc w:val="center"/>
              <w:rPr>
                <w:rFonts w:hint="eastAsia" w:ascii="宋体" w:hAnsi="宋体" w:eastAsia="宋体" w:cs="宋体"/>
                <w:kern w:val="0"/>
                <w:highlight w:val="none"/>
                <w:lang w:eastAsia="zh-CN"/>
              </w:rPr>
            </w:pPr>
            <w:r>
              <w:rPr>
                <w:rFonts w:hint="eastAsia" w:ascii="宋体" w:hAnsi="宋体" w:cs="宋体"/>
                <w:kern w:val="0"/>
                <w:highlight w:val="none"/>
              </w:rPr>
              <w:t>10.</w:t>
            </w:r>
            <w:r>
              <w:rPr>
                <w:rFonts w:hint="eastAsia" w:ascii="宋体" w:hAnsi="宋体" w:cs="宋体"/>
                <w:kern w:val="0"/>
                <w:highlight w:val="none"/>
                <w:lang w:val="en-US" w:eastAsia="zh-CN"/>
              </w:rPr>
              <w:t>1</w:t>
            </w:r>
          </w:p>
        </w:tc>
        <w:tc>
          <w:tcPr>
            <w:tcW w:w="4370" w:type="pct"/>
            <w:gridSpan w:val="2"/>
            <w:vAlign w:val="center"/>
          </w:tcPr>
          <w:p w14:paraId="329A9C5D">
            <w:pPr>
              <w:widowControl/>
              <w:adjustRightInd w:val="0"/>
              <w:snapToGrid w:val="0"/>
              <w:rPr>
                <w:rFonts w:hint="eastAsia" w:ascii="宋体" w:hAnsi="宋体" w:cs="宋体"/>
                <w:b/>
                <w:highlight w:val="none"/>
              </w:rPr>
            </w:pPr>
            <w:r>
              <w:rPr>
                <w:rFonts w:hint="eastAsia" w:ascii="宋体" w:hAnsi="宋体" w:cs="宋体"/>
                <w:b/>
                <w:highlight w:val="none"/>
              </w:rPr>
              <w:t>投标人须知正文部分内容调整如下：</w:t>
            </w:r>
          </w:p>
          <w:p w14:paraId="3AADA0D2">
            <w:pPr>
              <w:widowControl/>
              <w:adjustRightInd w:val="0"/>
              <w:snapToGrid w:val="0"/>
              <w:rPr>
                <w:rFonts w:hint="eastAsia" w:ascii="宋体" w:hAnsi="宋体" w:cs="宋体"/>
                <w:b/>
                <w:kern w:val="0"/>
                <w:highlight w:val="none"/>
              </w:rPr>
            </w:pPr>
            <w:r>
              <w:rPr>
                <w:rFonts w:ascii="宋体" w:hAnsi="宋体" w:cs="宋体"/>
                <w:b/>
                <w:kern w:val="0"/>
                <w:highlight w:val="none"/>
              </w:rPr>
              <w:t xml:space="preserve">1、第3条 </w:t>
            </w:r>
            <w:r>
              <w:rPr>
                <w:rFonts w:hint="eastAsia" w:ascii="宋体" w:hAnsi="宋体" w:cs="宋体"/>
                <w:b/>
                <w:kern w:val="0"/>
                <w:highlight w:val="none"/>
              </w:rPr>
              <w:t>投标报价：</w:t>
            </w:r>
          </w:p>
          <w:p w14:paraId="7BF2F555">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●第</w:t>
            </w:r>
            <w:r>
              <w:rPr>
                <w:rFonts w:ascii="宋体" w:hAnsi="宋体" w:cs="宋体"/>
                <w:bCs/>
                <w:color w:val="000000"/>
                <w:kern w:val="0"/>
                <w:highlight w:val="none"/>
                <w:lang w:val="zh-CN" w:bidi="zh-CN"/>
              </w:rPr>
              <w:t>3.1.1项调整为：</w:t>
            </w:r>
          </w:p>
          <w:p w14:paraId="42D78354">
            <w:pPr>
              <w:autoSpaceDE w:val="0"/>
              <w:autoSpaceDN w:val="0"/>
              <w:adjustRightInd w:val="0"/>
              <w:snapToGrid w:val="0"/>
              <w:rPr>
                <w:rFonts w:hint="eastAsia" w:ascii="宋体" w:hAnsi="宋体" w:cs="宋体"/>
                <w:bCs/>
                <w:color w:val="000000"/>
                <w:kern w:val="0"/>
                <w:highlight w:val="none"/>
                <w:lang w:val="zh-CN" w:bidi="zh-CN"/>
              </w:rPr>
            </w:pPr>
            <w:r>
              <w:rPr>
                <w:rFonts w:ascii="宋体" w:hAnsi="宋体" w:cs="宋体"/>
                <w:bCs/>
                <w:color w:val="000000"/>
                <w:kern w:val="0"/>
                <w:highlight w:val="none"/>
                <w:lang w:val="zh-CN" w:bidi="zh-CN"/>
              </w:rPr>
              <w:t xml:space="preserve"> 投标文件应包括下列内容：</w:t>
            </w:r>
          </w:p>
          <w:p w14:paraId="49AFA2E0">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第一个信封（商务及技术文件）：</w:t>
            </w:r>
          </w:p>
          <w:p w14:paraId="30BB8273">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ascii="宋体" w:hAnsi="宋体" w:cs="宋体"/>
                <w:bCs/>
                <w:color w:val="000000"/>
                <w:kern w:val="0"/>
                <w:highlight w:val="none"/>
                <w:lang w:val="zh-CN" w:bidi="zh-CN"/>
              </w:rPr>
              <w:t>1）投标函；</w:t>
            </w:r>
          </w:p>
          <w:p w14:paraId="31526A5B">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ascii="宋体" w:hAnsi="宋体" w:cs="宋体"/>
                <w:bCs/>
                <w:color w:val="000000"/>
                <w:kern w:val="0"/>
                <w:highlight w:val="none"/>
                <w:lang w:val="zh-CN" w:bidi="zh-CN"/>
              </w:rPr>
              <w:t>2）</w:t>
            </w:r>
            <w:bookmarkStart w:id="30" w:name="_Hlk172657605"/>
            <w:r>
              <w:rPr>
                <w:rFonts w:hint="eastAsia" w:ascii="宋体" w:hAnsi="宋体" w:cs="宋体"/>
                <w:bCs/>
                <w:color w:val="000000"/>
                <w:kern w:val="0"/>
                <w:highlight w:val="none"/>
                <w:lang w:val="zh-CN" w:bidi="zh-CN"/>
              </w:rPr>
              <w:t>法定代表人身份证明或附有法定代表人身份证明的授权委托书</w:t>
            </w:r>
            <w:bookmarkEnd w:id="30"/>
            <w:r>
              <w:rPr>
                <w:rFonts w:ascii="宋体" w:hAnsi="宋体" w:cs="宋体"/>
                <w:bCs/>
                <w:color w:val="000000"/>
                <w:kern w:val="0"/>
                <w:highlight w:val="none"/>
                <w:lang w:val="zh-CN" w:bidi="zh-CN"/>
              </w:rPr>
              <w:t>；</w:t>
            </w:r>
          </w:p>
          <w:p w14:paraId="18B6E525">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hint="eastAsia" w:ascii="宋体" w:hAnsi="宋体" w:cs="宋体"/>
                <w:bCs/>
                <w:color w:val="000000"/>
                <w:kern w:val="0"/>
                <w:highlight w:val="none"/>
                <w:lang w:val="en-US" w:bidi="zh-CN"/>
              </w:rPr>
              <w:t>3</w:t>
            </w:r>
            <w:r>
              <w:rPr>
                <w:rFonts w:ascii="宋体" w:hAnsi="宋体" w:cs="宋体"/>
                <w:bCs/>
                <w:color w:val="000000"/>
                <w:kern w:val="0"/>
                <w:highlight w:val="none"/>
                <w:lang w:val="zh-CN" w:bidi="zh-CN"/>
              </w:rPr>
              <w:t>）投标保证金；</w:t>
            </w:r>
          </w:p>
          <w:p w14:paraId="19E79567">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hint="eastAsia" w:ascii="宋体" w:hAnsi="宋体" w:cs="宋体"/>
                <w:bCs/>
                <w:color w:val="000000"/>
                <w:kern w:val="0"/>
                <w:highlight w:val="none"/>
                <w:lang w:val="en-US" w:bidi="zh-CN"/>
              </w:rPr>
              <w:t>4</w:t>
            </w:r>
            <w:r>
              <w:rPr>
                <w:rFonts w:hint="eastAsia" w:ascii="宋体" w:hAnsi="宋体" w:cs="宋体"/>
                <w:bCs/>
                <w:color w:val="000000"/>
                <w:kern w:val="0"/>
                <w:highlight w:val="none"/>
                <w:lang w:val="zh-CN" w:bidi="zh-CN"/>
              </w:rPr>
              <w:t>）施工组织设计；</w:t>
            </w:r>
          </w:p>
          <w:p w14:paraId="78E7FD7E">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hint="eastAsia" w:ascii="宋体" w:hAnsi="宋体" w:cs="宋体"/>
                <w:bCs/>
                <w:color w:val="000000"/>
                <w:kern w:val="0"/>
                <w:highlight w:val="none"/>
                <w:lang w:val="en-US" w:bidi="zh-CN"/>
              </w:rPr>
              <w:t>5</w:t>
            </w:r>
            <w:r>
              <w:rPr>
                <w:rFonts w:hint="eastAsia" w:ascii="宋体" w:hAnsi="宋体" w:cs="宋体"/>
                <w:bCs/>
                <w:color w:val="000000"/>
                <w:kern w:val="0"/>
                <w:highlight w:val="none"/>
                <w:lang w:val="zh-CN" w:bidi="zh-CN"/>
              </w:rPr>
              <w:t>）项目管理机构；</w:t>
            </w:r>
          </w:p>
          <w:p w14:paraId="5E243037">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hint="eastAsia" w:ascii="宋体" w:hAnsi="宋体" w:cs="宋体"/>
                <w:bCs/>
                <w:color w:val="000000"/>
                <w:kern w:val="0"/>
                <w:highlight w:val="none"/>
                <w:lang w:val="en-US" w:bidi="zh-CN"/>
              </w:rPr>
              <w:t>6</w:t>
            </w:r>
            <w:r>
              <w:rPr>
                <w:rFonts w:hint="eastAsia" w:ascii="宋体" w:hAnsi="宋体" w:cs="宋体"/>
                <w:bCs/>
                <w:color w:val="000000"/>
                <w:kern w:val="0"/>
                <w:highlight w:val="none"/>
                <w:lang w:val="zh-CN" w:bidi="zh-CN"/>
              </w:rPr>
              <w:t>）拟分包项目情况表</w:t>
            </w:r>
          </w:p>
          <w:p w14:paraId="63D93412">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hint="eastAsia" w:ascii="宋体" w:hAnsi="宋体" w:cs="宋体"/>
                <w:bCs/>
                <w:color w:val="000000"/>
                <w:kern w:val="0"/>
                <w:highlight w:val="none"/>
                <w:lang w:val="en-US" w:bidi="zh-CN"/>
              </w:rPr>
              <w:t>7</w:t>
            </w:r>
            <w:r>
              <w:rPr>
                <w:rFonts w:hint="eastAsia" w:ascii="宋体" w:hAnsi="宋体" w:cs="宋体"/>
                <w:bCs/>
                <w:color w:val="000000"/>
                <w:kern w:val="0"/>
                <w:highlight w:val="none"/>
                <w:lang w:val="zh-CN" w:bidi="zh-CN"/>
              </w:rPr>
              <w:t>）资格审查及商务评审资料；</w:t>
            </w:r>
          </w:p>
          <w:p w14:paraId="3676C1A8">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w:t>
            </w:r>
            <w:r>
              <w:rPr>
                <w:rFonts w:hint="eastAsia" w:ascii="宋体" w:hAnsi="宋体" w:cs="宋体"/>
                <w:bCs/>
                <w:color w:val="000000"/>
                <w:kern w:val="0"/>
                <w:highlight w:val="none"/>
                <w:lang w:val="en-US" w:bidi="zh-CN"/>
              </w:rPr>
              <w:t>8</w:t>
            </w:r>
            <w:r>
              <w:rPr>
                <w:rFonts w:hint="eastAsia" w:ascii="宋体" w:hAnsi="宋体" w:cs="宋体"/>
                <w:bCs/>
                <w:color w:val="000000"/>
                <w:kern w:val="0"/>
                <w:highlight w:val="none"/>
                <w:lang w:val="zh-CN" w:bidi="zh-CN"/>
              </w:rPr>
              <w:t>）其他材料。</w:t>
            </w:r>
          </w:p>
          <w:p w14:paraId="6ACC8CEA">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第二个信封（报价文件）：</w:t>
            </w:r>
          </w:p>
          <w:p w14:paraId="44F04551">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（1）投标函；</w:t>
            </w:r>
          </w:p>
          <w:p w14:paraId="51F7DA44">
            <w:pPr>
              <w:autoSpaceDE w:val="0"/>
              <w:autoSpaceDN w:val="0"/>
              <w:adjustRightInd w:val="0"/>
              <w:snapToGrid w:val="0"/>
              <w:rPr>
                <w:rFonts w:hint="eastAsia" w:ascii="宋体" w:hAnsi="宋体" w:cs="宋体"/>
                <w:bCs/>
                <w:color w:val="000000"/>
                <w:kern w:val="0"/>
                <w:highlight w:val="none"/>
                <w:lang w:val="zh-CN" w:bidi="zh-CN"/>
              </w:rPr>
            </w:pPr>
            <w:r>
              <w:rPr>
                <w:rFonts w:hint="eastAsia" w:ascii="宋体" w:hAnsi="宋体" w:cs="宋体"/>
                <w:bCs/>
                <w:color w:val="000000"/>
                <w:kern w:val="0"/>
                <w:highlight w:val="none"/>
                <w:lang w:val="zh-CN" w:bidi="zh-CN"/>
              </w:rPr>
              <w:t>（2）已标价工程量清单；</w:t>
            </w:r>
          </w:p>
          <w:p w14:paraId="646CE5AD">
            <w:pPr>
              <w:widowControl/>
              <w:adjustRightInd w:val="0"/>
              <w:snapToGrid w:val="0"/>
              <w:rPr>
                <w:rFonts w:hint="eastAsia" w:ascii="宋体" w:hAnsi="宋体" w:cs="宋体"/>
                <w:b/>
                <w:color w:val="FF0000"/>
                <w:kern w:val="0"/>
                <w:highlight w:val="none"/>
              </w:rPr>
            </w:pPr>
            <w:r>
              <w:rPr>
                <w:rFonts w:hint="eastAsia" w:ascii="宋体" w:hAnsi="宋体" w:cs="宋体"/>
                <w:b/>
                <w:color w:val="FF0000"/>
                <w:kern w:val="0"/>
                <w:highlight w:val="none"/>
                <w:lang w:val="zh-CN" w:bidi="zh-CN"/>
              </w:rPr>
              <w:t>●</w:t>
            </w:r>
            <w:r>
              <w:rPr>
                <w:rFonts w:hint="eastAsia" w:ascii="宋体" w:hAnsi="宋体" w:cs="宋体"/>
                <w:b/>
                <w:color w:val="FF0000"/>
                <w:kern w:val="0"/>
                <w:highlight w:val="none"/>
              </w:rPr>
              <w:t>增加</w:t>
            </w:r>
            <w:r>
              <w:rPr>
                <w:rFonts w:ascii="宋体" w:hAnsi="宋体" w:cs="宋体"/>
                <w:b/>
                <w:color w:val="FF0000"/>
                <w:kern w:val="0"/>
                <w:highlight w:val="none"/>
              </w:rPr>
              <w:t>3.2.3</w:t>
            </w:r>
            <w:r>
              <w:rPr>
                <w:rFonts w:hint="eastAsia" w:ascii="宋体" w:hAnsi="宋体" w:cs="宋体"/>
                <w:b/>
                <w:color w:val="FF0000"/>
                <w:kern w:val="0"/>
                <w:highlight w:val="none"/>
              </w:rPr>
              <w:t>投标报价的其他要求：</w:t>
            </w:r>
          </w:p>
          <w:p w14:paraId="15387678">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w:t>
            </w:r>
            <w:r>
              <w:rPr>
                <w:rFonts w:ascii="宋体" w:hAnsi="宋体" w:cs="宋体"/>
                <w:b/>
                <w:kern w:val="0"/>
                <w:highlight w:val="none"/>
              </w:rPr>
              <w:t>1</w:t>
            </w:r>
            <w:r>
              <w:rPr>
                <w:rFonts w:hint="eastAsia" w:ascii="宋体" w:hAnsi="宋体" w:cs="宋体"/>
                <w:b/>
                <w:kern w:val="0"/>
                <w:highlight w:val="none"/>
              </w:rPr>
              <w:t>）本项目报价方式采用单价报价。</w:t>
            </w:r>
          </w:p>
          <w:p w14:paraId="175725F6">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（2）本项目为固定单价合同。投标人的投标价，应是本须知第</w:t>
            </w:r>
            <w:r>
              <w:rPr>
                <w:rFonts w:ascii="宋体" w:hAnsi="宋体" w:cs="宋体"/>
                <w:b/>
                <w:kern w:val="0"/>
                <w:highlight w:val="none"/>
              </w:rPr>
              <w:t>1</w:t>
            </w:r>
            <w:r>
              <w:rPr>
                <w:rFonts w:hint="eastAsia" w:ascii="宋体" w:hAnsi="宋体" w:cs="宋体"/>
                <w:b/>
                <w:kern w:val="0"/>
                <w:highlight w:val="none"/>
              </w:rPr>
              <w:t>条招标范围内的全部工程的投标价，并以投标人在工程量清单报价表中提出的单价或总额价为根据。投标人所报的单价或总额价应包括为完成招标文件所规定的招标范围内施工图设计的全部工程以及临时工程的实施、完成和保修所需的人工费、材料费、机械设备费、各种措施费、劳务费、管理费、协调费、维护费、评审费、利润、规费、税金、保险以及合同明示或暗示的所有一切风险、责任和义务的全部费用。投标人在编制投标报价时应充分考虑施工期间各类材料的市场风险、国家政策性调整风险、气候条件风险以及施工现场的现状</w:t>
            </w:r>
            <w:r>
              <w:rPr>
                <w:rFonts w:ascii="宋体" w:hAnsi="宋体" w:cs="宋体"/>
                <w:b/>
                <w:kern w:val="0"/>
                <w:highlight w:val="none"/>
              </w:rPr>
              <w:t>(</w:t>
            </w:r>
            <w:r>
              <w:rPr>
                <w:rFonts w:hint="eastAsia" w:ascii="宋体" w:hAnsi="宋体" w:cs="宋体"/>
                <w:b/>
                <w:kern w:val="0"/>
                <w:highlight w:val="none"/>
              </w:rPr>
              <w:t>如可能存在的拆除工程、块石的清理等</w:t>
            </w:r>
            <w:r>
              <w:rPr>
                <w:rFonts w:ascii="宋体" w:hAnsi="宋体" w:cs="宋体"/>
                <w:b/>
                <w:kern w:val="0"/>
                <w:highlight w:val="none"/>
              </w:rPr>
              <w:t>)</w:t>
            </w:r>
            <w:r>
              <w:rPr>
                <w:rFonts w:hint="eastAsia" w:ascii="宋体" w:hAnsi="宋体" w:cs="宋体"/>
                <w:b/>
                <w:kern w:val="0"/>
                <w:highlight w:val="none"/>
              </w:rPr>
              <w:t>、地质情况等一切因素。合同协议书一经签订，除合同另有明确规定外，合同单价一概不予调整。</w:t>
            </w:r>
          </w:p>
          <w:p w14:paraId="271E1316">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（3）投标人的投标报价中应含的保险费包括：工程一切险、第三方责任险、承包人装备财产险、承包人雇员人身事故险、工伤保险、安全生产责任保险的保险费。其中：</w:t>
            </w:r>
          </w:p>
          <w:p w14:paraId="7E45E1E3">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a</w:t>
            </w:r>
            <w:r>
              <w:rPr>
                <w:rFonts w:hint="eastAsia" w:ascii="宋体" w:hAnsi="宋体" w:cs="宋体"/>
                <w:b/>
                <w:kern w:val="0"/>
                <w:highlight w:val="none"/>
              </w:rPr>
              <w:t>、工程一切险与第三方责任险由投标人自行投保</w:t>
            </w:r>
            <w:r>
              <w:rPr>
                <w:rFonts w:ascii="宋体" w:hAnsi="宋体" w:cs="宋体"/>
                <w:b/>
                <w:kern w:val="0"/>
                <w:highlight w:val="none"/>
              </w:rPr>
              <w:t>(</w:t>
            </w:r>
            <w:r>
              <w:rPr>
                <w:rFonts w:hint="eastAsia" w:ascii="宋体" w:hAnsi="宋体" w:cs="宋体"/>
                <w:b/>
                <w:kern w:val="0"/>
                <w:highlight w:val="none"/>
              </w:rPr>
              <w:t>其中第三方责任险保额不低于人民币</w:t>
            </w:r>
            <w:r>
              <w:rPr>
                <w:rFonts w:hint="eastAsia" w:ascii="宋体" w:hAnsi="宋体" w:cs="宋体"/>
                <w:b/>
                <w:kern w:val="0"/>
                <w:highlight w:val="none"/>
                <w:lang w:val="en-US" w:eastAsia="zh-CN"/>
              </w:rPr>
              <w:t>50</w:t>
            </w:r>
            <w:r>
              <w:rPr>
                <w:rFonts w:hint="eastAsia" w:ascii="宋体" w:hAnsi="宋体" w:cs="宋体"/>
                <w:b/>
                <w:kern w:val="0"/>
                <w:highlight w:val="none"/>
              </w:rPr>
              <w:t>万元</w:t>
            </w:r>
            <w:r>
              <w:rPr>
                <w:rFonts w:ascii="宋体" w:hAnsi="宋体" w:cs="宋体"/>
                <w:b/>
                <w:kern w:val="0"/>
                <w:highlight w:val="none"/>
              </w:rPr>
              <w:t>)</w:t>
            </w:r>
            <w:r>
              <w:rPr>
                <w:rFonts w:hint="eastAsia" w:ascii="宋体" w:hAnsi="宋体" w:cs="宋体"/>
                <w:b/>
                <w:kern w:val="0"/>
                <w:highlight w:val="none"/>
              </w:rPr>
              <w:t>，其费用包含在相关子目单价或总额价中，不单计量与支付。</w:t>
            </w:r>
          </w:p>
          <w:p w14:paraId="0E7E1523">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b</w:t>
            </w:r>
            <w:r>
              <w:rPr>
                <w:rFonts w:hint="eastAsia" w:ascii="宋体" w:hAnsi="宋体" w:cs="宋体"/>
                <w:b/>
                <w:kern w:val="0"/>
                <w:highlight w:val="none"/>
              </w:rPr>
              <w:t>、承包人装备财产险与承包人雇员人身事故险</w:t>
            </w:r>
            <w:r>
              <w:rPr>
                <w:rFonts w:ascii="宋体" w:hAnsi="宋体" w:cs="宋体"/>
                <w:b/>
                <w:kern w:val="0"/>
                <w:highlight w:val="none"/>
              </w:rPr>
              <w:t>(</w:t>
            </w:r>
            <w:r>
              <w:rPr>
                <w:rFonts w:hint="eastAsia" w:ascii="宋体" w:hAnsi="宋体" w:cs="宋体"/>
                <w:b/>
                <w:kern w:val="0"/>
                <w:highlight w:val="none"/>
              </w:rPr>
              <w:t>保额不低于</w:t>
            </w:r>
            <w:r>
              <w:rPr>
                <w:rFonts w:ascii="宋体" w:hAnsi="宋体" w:cs="宋体"/>
                <w:b/>
                <w:kern w:val="0"/>
                <w:highlight w:val="none"/>
              </w:rPr>
              <w:t>100</w:t>
            </w:r>
            <w:r>
              <w:rPr>
                <w:rFonts w:hint="eastAsia" w:ascii="宋体" w:hAnsi="宋体" w:cs="宋体"/>
                <w:b/>
                <w:kern w:val="0"/>
                <w:highlight w:val="none"/>
              </w:rPr>
              <w:t>万元</w:t>
            </w:r>
            <w:r>
              <w:rPr>
                <w:rFonts w:ascii="宋体" w:hAnsi="宋体" w:cs="宋体"/>
                <w:b/>
                <w:kern w:val="0"/>
                <w:highlight w:val="none"/>
              </w:rPr>
              <w:t>/</w:t>
            </w:r>
            <w:r>
              <w:rPr>
                <w:rFonts w:hint="eastAsia" w:ascii="宋体" w:hAnsi="宋体" w:cs="宋体"/>
                <w:b/>
                <w:kern w:val="0"/>
                <w:highlight w:val="none"/>
              </w:rPr>
              <w:t>人</w:t>
            </w:r>
            <w:r>
              <w:rPr>
                <w:rFonts w:ascii="宋体" w:hAnsi="宋体" w:cs="宋体"/>
                <w:b/>
                <w:kern w:val="0"/>
                <w:highlight w:val="none"/>
              </w:rPr>
              <w:t>)</w:t>
            </w:r>
            <w:r>
              <w:rPr>
                <w:rFonts w:hint="eastAsia" w:ascii="宋体" w:hAnsi="宋体" w:cs="宋体"/>
                <w:b/>
                <w:kern w:val="0"/>
                <w:highlight w:val="none"/>
              </w:rPr>
              <w:t>由投标人自行投保，其费用包含在相关子目单价或总额价中，不单计量与支付。</w:t>
            </w:r>
          </w:p>
          <w:p w14:paraId="7F8C58A9">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c</w:t>
            </w:r>
            <w:r>
              <w:rPr>
                <w:rFonts w:hint="eastAsia" w:ascii="宋体" w:hAnsi="宋体" w:cs="宋体"/>
                <w:b/>
                <w:kern w:val="0"/>
                <w:highlight w:val="none"/>
              </w:rPr>
              <w:t>、根据《人力资源社会保障部办公厅关于进一步做好建筑业工伤保险工作的通知》</w:t>
            </w:r>
            <w:r>
              <w:rPr>
                <w:rFonts w:ascii="宋体" w:hAnsi="宋体" w:cs="宋体"/>
                <w:b/>
                <w:kern w:val="0"/>
                <w:highlight w:val="none"/>
              </w:rPr>
              <w:t xml:space="preserve"> (</w:t>
            </w:r>
            <w:r>
              <w:rPr>
                <w:rFonts w:hint="eastAsia" w:ascii="宋体" w:hAnsi="宋体" w:cs="宋体"/>
                <w:b/>
                <w:kern w:val="0"/>
                <w:highlight w:val="none"/>
              </w:rPr>
              <w:t>人社厅函〔</w:t>
            </w:r>
            <w:r>
              <w:rPr>
                <w:rFonts w:ascii="宋体" w:hAnsi="宋体" w:cs="宋体"/>
                <w:b/>
                <w:kern w:val="0"/>
                <w:highlight w:val="none"/>
              </w:rPr>
              <w:t>2017</w:t>
            </w:r>
            <w:r>
              <w:rPr>
                <w:rFonts w:hint="eastAsia" w:ascii="宋体" w:hAnsi="宋体" w:cs="宋体"/>
                <w:b/>
                <w:kern w:val="0"/>
                <w:highlight w:val="none"/>
              </w:rPr>
              <w:t>〕</w:t>
            </w:r>
            <w:r>
              <w:rPr>
                <w:rFonts w:ascii="宋体" w:hAnsi="宋体" w:cs="宋体"/>
                <w:b/>
                <w:kern w:val="0"/>
                <w:highlight w:val="none"/>
              </w:rPr>
              <w:t>53</w:t>
            </w:r>
            <w:r>
              <w:rPr>
                <w:rFonts w:hint="eastAsia" w:ascii="宋体" w:hAnsi="宋体" w:cs="宋体"/>
                <w:b/>
                <w:kern w:val="0"/>
                <w:highlight w:val="none"/>
              </w:rPr>
              <w:t>号</w:t>
            </w:r>
            <w:r>
              <w:rPr>
                <w:rFonts w:ascii="宋体" w:hAnsi="宋体" w:cs="宋体"/>
                <w:b/>
                <w:kern w:val="0"/>
                <w:highlight w:val="none"/>
              </w:rPr>
              <w:t>)</w:t>
            </w:r>
            <w:r>
              <w:rPr>
                <w:rFonts w:hint="eastAsia" w:ascii="宋体" w:hAnsi="宋体" w:cs="宋体"/>
                <w:b/>
                <w:kern w:val="0"/>
                <w:highlight w:val="none"/>
              </w:rPr>
              <w:t>及省厅相关文件要求，投标人在中标后必须依法参加工伤保险，为从业人员缴纳保险费，实行“先参保、再开工”，此项保险的一切费用按清单指示费率进行投标报价，包干使用。</w:t>
            </w:r>
          </w:p>
          <w:p w14:paraId="6806A591">
            <w:pPr>
              <w:adjustRightInd w:val="0"/>
              <w:snapToGrid w:val="0"/>
              <w:rPr>
                <w:rFonts w:hint="eastAsia" w:ascii="宋体" w:hAnsi="宋体" w:cs="宋体"/>
                <w:b/>
                <w:kern w:val="0"/>
                <w:highlight w:val="none"/>
              </w:rPr>
            </w:pPr>
            <w:r>
              <w:rPr>
                <w:rFonts w:ascii="宋体" w:hAnsi="宋体" w:cs="宋体"/>
                <w:b/>
                <w:kern w:val="0"/>
                <w:highlight w:val="none"/>
              </w:rPr>
              <w:t>d</w:t>
            </w:r>
            <w:r>
              <w:rPr>
                <w:rFonts w:hint="eastAsia" w:ascii="宋体" w:hAnsi="宋体" w:cs="宋体"/>
                <w:b/>
                <w:kern w:val="0"/>
                <w:highlight w:val="none"/>
              </w:rPr>
              <w:t>、承包人应当依法参加安全生产责任保险，安全生产责任保险的保费从安全生产费用中列支。</w:t>
            </w:r>
          </w:p>
          <w:p w14:paraId="0689A2F4">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（4）本项目招标时考虑暂列金额</w:t>
            </w:r>
            <w:r>
              <w:rPr>
                <w:rFonts w:ascii="宋体" w:hAnsi="宋体" w:cs="宋体"/>
                <w:b/>
                <w:kern w:val="0"/>
                <w:highlight w:val="none"/>
              </w:rPr>
              <w:t>(</w:t>
            </w:r>
            <w:r>
              <w:rPr>
                <w:rFonts w:hint="eastAsia" w:ascii="宋体" w:hAnsi="宋体" w:cs="宋体"/>
                <w:b/>
                <w:kern w:val="0"/>
                <w:highlight w:val="none"/>
              </w:rPr>
              <w:t>即：预备费</w:t>
            </w:r>
            <w:r>
              <w:rPr>
                <w:rFonts w:ascii="宋体" w:hAnsi="宋体" w:cs="宋体"/>
                <w:b/>
                <w:kern w:val="0"/>
                <w:highlight w:val="none"/>
              </w:rPr>
              <w:t>)</w:t>
            </w:r>
            <w:r>
              <w:rPr>
                <w:rFonts w:hint="eastAsia" w:ascii="宋体" w:hAnsi="宋体" w:cs="宋体"/>
                <w:b/>
                <w:kern w:val="0"/>
                <w:highlight w:val="none"/>
              </w:rPr>
              <w:t>为工程量清单中一般项目、工伤保险费、安全生产费及分部分项工程量清单报价合计的</w:t>
            </w:r>
            <w:r>
              <w:rPr>
                <w:rFonts w:ascii="宋体" w:hAnsi="宋体" w:cs="宋体"/>
                <w:b/>
                <w:kern w:val="0"/>
                <w:highlight w:val="none"/>
              </w:rPr>
              <w:t>3% (</w:t>
            </w:r>
            <w:r>
              <w:rPr>
                <w:rFonts w:hint="eastAsia" w:ascii="宋体" w:hAnsi="宋体" w:cs="宋体"/>
                <w:b/>
                <w:kern w:val="0"/>
                <w:highlight w:val="none"/>
              </w:rPr>
              <w:t>固定费率</w:t>
            </w:r>
            <w:r>
              <w:rPr>
                <w:rFonts w:ascii="宋体" w:hAnsi="宋体" w:cs="宋体"/>
                <w:b/>
                <w:kern w:val="0"/>
                <w:highlight w:val="none"/>
              </w:rPr>
              <w:t>)</w:t>
            </w:r>
            <w:r>
              <w:rPr>
                <w:rFonts w:hint="eastAsia" w:ascii="宋体" w:hAnsi="宋体" w:cs="宋体"/>
                <w:b/>
                <w:kern w:val="0"/>
                <w:highlight w:val="none"/>
              </w:rPr>
              <w:t>，该暂列金额由发包人控制使用或根本不予动用。</w:t>
            </w:r>
          </w:p>
          <w:p w14:paraId="234CF2FC">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5）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14:paraId="7C69C92E">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（6）工程实施过程中，承包人应做好交通、水利、渔政、环保、园林</w:t>
            </w:r>
            <w:r>
              <w:rPr>
                <w:rFonts w:hint="eastAsia" w:ascii="宋体" w:hAnsi="宋体" w:cs="宋体"/>
                <w:b/>
                <w:kern w:val="0"/>
                <w:highlight w:val="none"/>
                <w:lang w:eastAsia="zh-CN"/>
              </w:rPr>
              <w:t>、</w:t>
            </w:r>
            <w:r>
              <w:rPr>
                <w:rFonts w:hint="eastAsia" w:ascii="宋体" w:hAnsi="宋体" w:cs="宋体"/>
                <w:b/>
                <w:kern w:val="0"/>
                <w:highlight w:val="none"/>
                <w:lang w:val="en-US" w:eastAsia="zh-CN"/>
              </w:rPr>
              <w:t>电力</w:t>
            </w:r>
            <w:r>
              <w:rPr>
                <w:rFonts w:hint="eastAsia" w:ascii="宋体" w:hAnsi="宋体" w:cs="宋体"/>
                <w:b/>
                <w:kern w:val="0"/>
                <w:highlight w:val="none"/>
              </w:rPr>
              <w:t>等部门</w:t>
            </w:r>
            <w:r>
              <w:rPr>
                <w:rFonts w:hint="eastAsia" w:ascii="宋体" w:hAnsi="宋体" w:cs="宋体"/>
                <w:b/>
                <w:kern w:val="0"/>
                <w:highlight w:val="none"/>
                <w:lang w:eastAsia="zh-CN"/>
              </w:rPr>
              <w:t>（</w:t>
            </w:r>
            <w:r>
              <w:rPr>
                <w:rFonts w:hint="eastAsia" w:ascii="宋体" w:hAnsi="宋体" w:cs="宋体"/>
                <w:b/>
                <w:kern w:val="0"/>
                <w:highlight w:val="none"/>
                <w:lang w:val="en-US" w:eastAsia="zh-CN"/>
              </w:rPr>
              <w:t>企业</w:t>
            </w:r>
            <w:r>
              <w:rPr>
                <w:rFonts w:hint="eastAsia" w:ascii="宋体" w:hAnsi="宋体" w:cs="宋体"/>
                <w:b/>
                <w:kern w:val="0"/>
                <w:highlight w:val="none"/>
                <w:lang w:eastAsia="zh-CN"/>
              </w:rPr>
              <w:t>）</w:t>
            </w:r>
            <w:r>
              <w:rPr>
                <w:rFonts w:hint="eastAsia" w:ascii="宋体" w:hAnsi="宋体" w:cs="宋体"/>
                <w:b/>
                <w:kern w:val="0"/>
                <w:highlight w:val="none"/>
              </w:rPr>
              <w:t>及地方政府的沟通、协调工作，施工期间本项目施工区域范围内交通、水利、渔政、环保、园林</w:t>
            </w:r>
            <w:r>
              <w:rPr>
                <w:rFonts w:hint="eastAsia" w:ascii="宋体" w:hAnsi="宋体" w:cs="宋体"/>
                <w:b/>
                <w:kern w:val="0"/>
                <w:highlight w:val="none"/>
                <w:lang w:eastAsia="zh-CN"/>
              </w:rPr>
              <w:t>、</w:t>
            </w:r>
            <w:r>
              <w:rPr>
                <w:rFonts w:hint="eastAsia" w:ascii="宋体" w:hAnsi="宋体" w:cs="宋体"/>
                <w:b/>
                <w:kern w:val="0"/>
                <w:highlight w:val="none"/>
                <w:lang w:val="en-US" w:eastAsia="zh-CN"/>
              </w:rPr>
              <w:t>电力</w:t>
            </w:r>
            <w:r>
              <w:rPr>
                <w:rFonts w:hint="eastAsia" w:ascii="宋体" w:hAnsi="宋体" w:cs="宋体"/>
                <w:b/>
                <w:kern w:val="0"/>
                <w:highlight w:val="none"/>
              </w:rPr>
              <w:t>等相关主管部门</w:t>
            </w:r>
            <w:r>
              <w:rPr>
                <w:rFonts w:hint="eastAsia" w:ascii="宋体" w:hAnsi="宋体" w:cs="宋体"/>
                <w:b/>
                <w:kern w:val="0"/>
                <w:highlight w:val="none"/>
                <w:lang w:eastAsia="zh-CN"/>
              </w:rPr>
              <w:t>（</w:t>
            </w:r>
            <w:r>
              <w:rPr>
                <w:rFonts w:hint="eastAsia" w:ascii="宋体" w:hAnsi="宋体" w:cs="宋体"/>
                <w:b/>
                <w:kern w:val="0"/>
                <w:highlight w:val="none"/>
                <w:lang w:val="en-US" w:eastAsia="zh-CN"/>
              </w:rPr>
              <w:t>企业</w:t>
            </w:r>
            <w:r>
              <w:rPr>
                <w:rFonts w:hint="eastAsia" w:ascii="宋体" w:hAnsi="宋体" w:cs="宋体"/>
                <w:b/>
                <w:kern w:val="0"/>
                <w:highlight w:val="none"/>
                <w:lang w:eastAsia="zh-CN"/>
              </w:rPr>
              <w:t>）</w:t>
            </w:r>
            <w:r>
              <w:rPr>
                <w:rFonts w:hint="eastAsia" w:ascii="宋体" w:hAnsi="宋体" w:cs="宋体"/>
                <w:b/>
                <w:kern w:val="0"/>
                <w:highlight w:val="none"/>
              </w:rPr>
              <w:t>可能会根据各部门相关管理规定收取规费，该部分费用由承包人自行调查，并在相关项目单价或总额价中予以充分考虑，不单独计量与支付。</w:t>
            </w:r>
          </w:p>
          <w:p w14:paraId="6ACC950C">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（7）设计单位提供的设计文件中的施工方案等均是设计单位提供的参考意见，并非发包人要求投标人必须采纳的。因此，各投标人在编制标书时，充分调查，选择合适的方案及资料。</w:t>
            </w:r>
          </w:p>
          <w:p w14:paraId="16A5B669">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（9）投标人在投标报价时还需考虑以下因素：</w:t>
            </w:r>
          </w:p>
          <w:p w14:paraId="0536A3FD">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①施工现场三通</w:t>
            </w:r>
            <w:r>
              <w:rPr>
                <w:rFonts w:ascii="宋体" w:hAnsi="宋体" w:cs="宋体"/>
                <w:b/>
                <w:kern w:val="0"/>
                <w:highlight w:val="none"/>
              </w:rPr>
              <w:t>(</w:t>
            </w:r>
            <w:r>
              <w:rPr>
                <w:rFonts w:hint="eastAsia" w:ascii="宋体" w:hAnsi="宋体" w:cs="宋体"/>
                <w:b/>
                <w:kern w:val="0"/>
                <w:highlight w:val="none"/>
              </w:rPr>
              <w:t>水、电、临时道路</w:t>
            </w:r>
            <w:r>
              <w:rPr>
                <w:rFonts w:ascii="宋体" w:hAnsi="宋体" w:cs="宋体"/>
                <w:b/>
                <w:kern w:val="0"/>
                <w:highlight w:val="none"/>
              </w:rPr>
              <w:t>)</w:t>
            </w:r>
            <w:r>
              <w:rPr>
                <w:rFonts w:hint="eastAsia" w:ascii="宋体" w:hAnsi="宋体" w:cs="宋体"/>
                <w:b/>
                <w:kern w:val="0"/>
                <w:highlight w:val="none"/>
              </w:rPr>
              <w:t>、通讯条件、临时排水、临时交通</w:t>
            </w:r>
            <w:r>
              <w:rPr>
                <w:rFonts w:ascii="宋体" w:hAnsi="宋体" w:cs="宋体"/>
                <w:b/>
                <w:kern w:val="0"/>
                <w:highlight w:val="none"/>
              </w:rPr>
              <w:t>(</w:t>
            </w:r>
            <w:r>
              <w:rPr>
                <w:rFonts w:hint="eastAsia" w:ascii="宋体" w:hAnsi="宋体" w:cs="宋体"/>
                <w:b/>
                <w:kern w:val="0"/>
                <w:highlight w:val="none"/>
              </w:rPr>
              <w:t>特别是弃土外运对现有道路的影响</w:t>
            </w:r>
            <w:r>
              <w:rPr>
                <w:rFonts w:ascii="宋体" w:hAnsi="宋体" w:cs="宋体"/>
                <w:b/>
                <w:kern w:val="0"/>
                <w:highlight w:val="none"/>
              </w:rPr>
              <w:t>)</w:t>
            </w:r>
            <w:r>
              <w:rPr>
                <w:rFonts w:hint="eastAsia" w:ascii="宋体" w:hAnsi="宋体" w:cs="宋体"/>
                <w:b/>
                <w:kern w:val="0"/>
                <w:highlight w:val="none"/>
              </w:rPr>
              <w:t>、承包人驻地建设，投标人应根据踏勘现场情况自行确定解决方案，其临时工程与设施应考虑施工期施工、地方临时通行需要，承包人驻地建设设置的项目及其规模、参数和功能应能满足实施工程施工的要求，符合环境、卫生、消防及文明施工标准化管理要求，同时应达到国家、省市相关《施工现场管理实施办法》以及本招标文件的相关要求。投标人应充分认识到本标段的场地条件、自然条件、施工安全要求的特点和难点，在投标时予以考虑（有对应报价子目的，由投标人自行报价；无对应报价子目的，包含在相关子目中进行报价）。</w:t>
            </w:r>
          </w:p>
          <w:p w14:paraId="03FA9260">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②本项目施工环保费（含扬尘污染增加费等）包含在相关子目单价或总额价中，不单计量与支付，承包人施工时应按相关规范和发包人、监理人的要求做好环境保护、文明施工工作，不得污染周边环境。若因承包人原因给发包人造成恶劣影响的，由此产生的赔偿由承包人承担。</w:t>
            </w:r>
          </w:p>
          <w:p w14:paraId="0CFD9991">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承包人在施工过程中必须做好防尘（包括车辆及机械设备等出入清洗）、降噪（不得影响附近居民办公休息）等工作，由此产生的相关费用包含在相关子目单价或总额价中，不单计量与支付。</w:t>
            </w:r>
          </w:p>
          <w:p w14:paraId="07661B80">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投标人应严格按照</w:t>
            </w:r>
            <w:r>
              <w:rPr>
                <w:rFonts w:hint="eastAsia" w:ascii="宋体" w:hAnsi="宋体" w:cs="宋体"/>
                <w:b/>
                <w:kern w:val="0"/>
                <w:highlight w:val="none"/>
                <w:lang w:val="en-US" w:eastAsia="zh-CN"/>
              </w:rPr>
              <w:t>相关文件</w:t>
            </w:r>
            <w:r>
              <w:rPr>
                <w:rFonts w:hint="eastAsia" w:ascii="宋体" w:hAnsi="宋体" w:cs="宋体"/>
                <w:b/>
                <w:kern w:val="0"/>
                <w:highlight w:val="none"/>
              </w:rPr>
              <w:t>的规定控制实施项目的扬尘污染防治工作。</w:t>
            </w:r>
          </w:p>
          <w:p w14:paraId="426D4CFF">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若因承包人原因给发包人造成恶劣影响的，该费用不予支付且由此产生的赔偿由承包人承担。</w:t>
            </w:r>
          </w:p>
          <w:p w14:paraId="42A4EB77">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③根据“交通运输部《公路水运工程安全生产监督管理办法》</w:t>
            </w:r>
            <w:r>
              <w:rPr>
                <w:rFonts w:ascii="宋体" w:hAnsi="宋体" w:cs="宋体"/>
                <w:b/>
                <w:kern w:val="0"/>
                <w:highlight w:val="none"/>
              </w:rPr>
              <w:tab/>
            </w:r>
            <w:r>
              <w:rPr>
                <w:rFonts w:ascii="宋体" w:hAnsi="宋体" w:cs="宋体"/>
                <w:b/>
                <w:kern w:val="0"/>
                <w:highlight w:val="none"/>
              </w:rPr>
              <w:t>([2017]</w:t>
            </w:r>
            <w:r>
              <w:rPr>
                <w:rFonts w:hint="eastAsia" w:ascii="宋体" w:hAnsi="宋体" w:cs="宋体"/>
                <w:b/>
                <w:kern w:val="0"/>
                <w:highlight w:val="none"/>
              </w:rPr>
              <w:t>第</w:t>
            </w:r>
            <w:r>
              <w:rPr>
                <w:rFonts w:ascii="宋体" w:hAnsi="宋体" w:cs="宋体"/>
                <w:b/>
                <w:kern w:val="0"/>
                <w:highlight w:val="none"/>
              </w:rPr>
              <w:t>25</w:t>
            </w:r>
            <w:r>
              <w:rPr>
                <w:rFonts w:hint="eastAsia" w:ascii="宋体" w:hAnsi="宋体" w:cs="宋体"/>
                <w:b/>
                <w:kern w:val="0"/>
                <w:highlight w:val="none"/>
              </w:rPr>
              <w:t>号</w:t>
            </w:r>
            <w:r>
              <w:rPr>
                <w:rFonts w:ascii="宋体" w:hAnsi="宋体" w:cs="宋体"/>
                <w:b/>
                <w:kern w:val="0"/>
                <w:highlight w:val="none"/>
              </w:rPr>
              <w:t>)</w:t>
            </w:r>
            <w:r>
              <w:rPr>
                <w:rFonts w:hint="eastAsia" w:ascii="宋体" w:hAnsi="宋体" w:cs="宋体"/>
                <w:b/>
                <w:kern w:val="0"/>
                <w:highlight w:val="none"/>
              </w:rPr>
              <w:t>”和“关于印发《企业安全生产费用提取和使用管理办法》的通知</w:t>
            </w:r>
            <w:r>
              <w:rPr>
                <w:rFonts w:ascii="宋体" w:hAnsi="宋体" w:cs="宋体"/>
                <w:b/>
                <w:kern w:val="0"/>
                <w:highlight w:val="none"/>
              </w:rPr>
              <w:t>(</w:t>
            </w:r>
            <w:r>
              <w:rPr>
                <w:rFonts w:hint="eastAsia" w:ascii="宋体" w:hAnsi="宋体" w:cs="宋体"/>
                <w:b/>
                <w:kern w:val="0"/>
                <w:highlight w:val="none"/>
              </w:rPr>
              <w:t>财资〔</w:t>
            </w:r>
            <w:r>
              <w:rPr>
                <w:rFonts w:ascii="宋体" w:hAnsi="宋体" w:cs="宋体"/>
                <w:b/>
                <w:kern w:val="0"/>
                <w:highlight w:val="none"/>
              </w:rPr>
              <w:t>2022</w:t>
            </w:r>
            <w:r>
              <w:rPr>
                <w:rFonts w:hint="eastAsia" w:ascii="宋体" w:hAnsi="宋体" w:cs="宋体"/>
                <w:b/>
                <w:kern w:val="0"/>
                <w:highlight w:val="none"/>
              </w:rPr>
              <w:t>〕</w:t>
            </w:r>
            <w:r>
              <w:rPr>
                <w:rFonts w:ascii="宋体" w:hAnsi="宋体" w:cs="宋体"/>
                <w:b/>
                <w:kern w:val="0"/>
                <w:highlight w:val="none"/>
              </w:rPr>
              <w:t>136</w:t>
            </w:r>
            <w:r>
              <w:rPr>
                <w:rFonts w:hint="eastAsia" w:ascii="宋体" w:hAnsi="宋体" w:cs="宋体"/>
                <w:b/>
                <w:kern w:val="0"/>
                <w:highlight w:val="none"/>
              </w:rPr>
              <w:t>号</w:t>
            </w:r>
            <w:r>
              <w:rPr>
                <w:rFonts w:ascii="宋体" w:hAnsi="宋体" w:cs="宋体"/>
                <w:b/>
                <w:kern w:val="0"/>
                <w:highlight w:val="none"/>
              </w:rPr>
              <w:t>)</w:t>
            </w:r>
            <w:r>
              <w:rPr>
                <w:rFonts w:hint="eastAsia" w:ascii="宋体" w:hAnsi="宋体" w:cs="宋体"/>
                <w:b/>
                <w:kern w:val="0"/>
                <w:highlight w:val="none"/>
              </w:rPr>
              <w:t>”</w:t>
            </w:r>
            <w:r>
              <w:rPr>
                <w:rFonts w:hint="eastAsia" w:ascii="宋体" w:hAnsi="宋体" w:cs="宋体"/>
                <w:b/>
                <w:kern w:val="0"/>
                <w:highlight w:val="none"/>
                <w:lang w:val="en-US" w:eastAsia="zh-CN"/>
              </w:rPr>
              <w:t>等</w:t>
            </w:r>
            <w:r>
              <w:rPr>
                <w:rFonts w:hint="eastAsia" w:ascii="宋体" w:hAnsi="宋体" w:cs="宋体"/>
                <w:b/>
                <w:kern w:val="0"/>
                <w:highlight w:val="none"/>
              </w:rPr>
              <w:t>的规定，承包人“安全生产费用”按“最高投标限价”的</w:t>
            </w:r>
            <w:r>
              <w:rPr>
                <w:rFonts w:ascii="宋体" w:hAnsi="宋体" w:cs="宋体"/>
                <w:b/>
                <w:kern w:val="0"/>
                <w:highlight w:val="none"/>
              </w:rPr>
              <w:t>1.5</w:t>
            </w:r>
            <w:r>
              <w:rPr>
                <w:rFonts w:hint="eastAsia" w:ascii="宋体" w:hAnsi="宋体" w:cs="宋体"/>
                <w:b/>
                <w:kern w:val="0"/>
                <w:highlight w:val="none"/>
              </w:rPr>
              <w:t>％</w:t>
            </w:r>
            <w:r>
              <w:rPr>
                <w:rFonts w:hint="eastAsia" w:ascii="宋体" w:hAnsi="宋体" w:cs="宋体"/>
                <w:b/>
                <w:kern w:val="0"/>
                <w:highlight w:val="none"/>
                <w:lang w:eastAsia="zh-CN"/>
              </w:rPr>
              <w:t>（</w:t>
            </w:r>
            <w:r>
              <w:rPr>
                <w:rFonts w:hint="eastAsia" w:ascii="宋体" w:hAnsi="宋体" w:cs="宋体"/>
                <w:b/>
                <w:kern w:val="0"/>
                <w:highlight w:val="none"/>
                <w:lang w:val="en-US" w:eastAsia="zh-CN"/>
              </w:rPr>
              <w:t>不足1万按1万计</w:t>
            </w:r>
            <w:r>
              <w:rPr>
                <w:rFonts w:hint="eastAsia" w:ascii="宋体" w:hAnsi="宋体" w:cs="宋体"/>
                <w:b/>
                <w:kern w:val="0"/>
                <w:highlight w:val="none"/>
                <w:lang w:eastAsia="zh-CN"/>
              </w:rPr>
              <w:t>）</w:t>
            </w:r>
            <w:r>
              <w:rPr>
                <w:rFonts w:hint="eastAsia" w:ascii="宋体" w:hAnsi="宋体" w:cs="宋体"/>
                <w:b/>
                <w:kern w:val="0"/>
                <w:highlight w:val="none"/>
              </w:rPr>
              <w:t>报价，投标人在投标报价时不得对该费</w:t>
            </w:r>
            <w:r>
              <w:rPr>
                <w:rFonts w:hint="eastAsia" w:ascii="宋体" w:hAnsi="宋体" w:cs="宋体"/>
                <w:b/>
                <w:kern w:val="0"/>
                <w:highlight w:val="none"/>
                <w:lang w:val="en-US" w:eastAsia="zh-CN"/>
              </w:rPr>
              <w:t>用</w:t>
            </w:r>
            <w:r>
              <w:rPr>
                <w:rFonts w:hint="eastAsia" w:ascii="宋体" w:hAnsi="宋体" w:cs="宋体"/>
                <w:b/>
                <w:kern w:val="0"/>
                <w:highlight w:val="none"/>
              </w:rPr>
              <w:t>进行调整。项目实施过程中由发包人根据监理人对工程安全生产情况的签字确认进行支付</w:t>
            </w:r>
            <w:r>
              <w:rPr>
                <w:rFonts w:ascii="宋体" w:hAnsi="宋体" w:cs="宋体"/>
                <w:b/>
                <w:kern w:val="0"/>
                <w:highlight w:val="none"/>
              </w:rPr>
              <w:t>(</w:t>
            </w:r>
            <w:r>
              <w:rPr>
                <w:rFonts w:hint="eastAsia" w:ascii="宋体" w:hAnsi="宋体" w:cs="宋体"/>
                <w:b/>
                <w:kern w:val="0"/>
                <w:highlight w:val="none"/>
              </w:rPr>
              <w:t>按实计量</w:t>
            </w:r>
            <w:r>
              <w:rPr>
                <w:rFonts w:ascii="宋体" w:hAnsi="宋体" w:cs="宋体"/>
                <w:b/>
                <w:kern w:val="0"/>
                <w:highlight w:val="none"/>
              </w:rPr>
              <w:t>)</w:t>
            </w:r>
            <w:r>
              <w:rPr>
                <w:rFonts w:hint="eastAsia" w:ascii="宋体" w:hAnsi="宋体" w:cs="宋体"/>
                <w:b/>
                <w:kern w:val="0"/>
                <w:highlight w:val="none"/>
              </w:rPr>
              <w:t>，支付上限为投标报价中的安全生产费报价。除合同另有规定，投标人在施工过程中用于安全生产的费用若超出了安全生产费总额，超出部分费用视已包括在相关项目单价或总额价内，发包人不另行计量与支付。</w:t>
            </w:r>
          </w:p>
          <w:p w14:paraId="286C1809">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④施工要考虑保证道路、航道安全畅通的需要，本项目施工过程中实施不断航施工，承包人在实施前应考虑其中风险，做好安全保障及应急措施方案，项目实施过程中须做好安全保障防护措施，包括夜间照明，警示标志等，确保施工及通航安全</w:t>
            </w:r>
            <w:r>
              <w:rPr>
                <w:rFonts w:hint="eastAsia"/>
                <w:b/>
                <w:highlight w:val="none"/>
              </w:rPr>
              <w:t>，所采取的措施</w:t>
            </w:r>
            <w:r>
              <w:rPr>
                <w:rFonts w:hint="eastAsia"/>
                <w:b/>
                <w:highlight w:val="none"/>
                <w:lang w:val="en-US" w:eastAsia="zh-CN"/>
              </w:rPr>
              <w:t>产生的相关费用</w:t>
            </w:r>
            <w:r>
              <w:rPr>
                <w:rFonts w:hint="eastAsia"/>
                <w:b/>
                <w:highlight w:val="none"/>
              </w:rPr>
              <w:t>应含在</w:t>
            </w:r>
            <w:r>
              <w:rPr>
                <w:rFonts w:hint="eastAsia" w:ascii="宋体" w:hAnsi="宋体" w:eastAsia="宋体" w:cs="宋体"/>
                <w:b/>
                <w:kern w:val="0"/>
                <w:highlight w:val="none"/>
              </w:rPr>
              <w:t>相关项目单价或总额价内，发包人不另行计量与支付。</w:t>
            </w:r>
          </w:p>
          <w:p w14:paraId="654C453C">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⑤在工程施工作业中产生的废渣、废料或废水</w:t>
            </w:r>
            <w:r>
              <w:rPr>
                <w:rFonts w:ascii="宋体" w:hAnsi="宋体" w:cs="宋体"/>
                <w:b/>
                <w:kern w:val="0"/>
                <w:highlight w:val="none"/>
              </w:rPr>
              <w:t>(</w:t>
            </w:r>
            <w:r>
              <w:rPr>
                <w:rFonts w:hint="eastAsia" w:ascii="宋体" w:hAnsi="宋体" w:cs="宋体"/>
                <w:b/>
                <w:kern w:val="0"/>
                <w:highlight w:val="none"/>
              </w:rPr>
              <w:t>废浆</w:t>
            </w:r>
            <w:r>
              <w:rPr>
                <w:rFonts w:ascii="宋体" w:hAnsi="宋体" w:cs="宋体"/>
                <w:b/>
                <w:kern w:val="0"/>
                <w:highlight w:val="none"/>
              </w:rPr>
              <w:t>)</w:t>
            </w:r>
            <w:r>
              <w:rPr>
                <w:rFonts w:hint="eastAsia" w:ascii="宋体" w:hAnsi="宋体" w:cs="宋体"/>
                <w:b/>
                <w:kern w:val="0"/>
                <w:highlight w:val="none"/>
              </w:rPr>
              <w:t>，应由承包人自行处置，且应满足环保要求，不得因此给业主带来投诉、争议或索赔。废料的残值及处置费用，均由承包人自行得益或承担，并在投标报价中充分考虑。</w:t>
            </w:r>
          </w:p>
          <w:p w14:paraId="3725084F">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施工期间承包人应严格执行关于排污的环保要求。严禁随意将生活垃圾和生活污水及废弃油料直接排入水域，防止施工机械的油料泄漏。排放污染物应进行必要的处理，达到排污标准以后方可排放。</w:t>
            </w:r>
          </w:p>
          <w:p w14:paraId="4709B5A3">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本项目施工过程中所需的临时用水用电、抛泥区</w:t>
            </w:r>
            <w:r>
              <w:rPr>
                <w:rFonts w:hint="eastAsia" w:ascii="宋体" w:hAnsi="宋体" w:cs="宋体"/>
                <w:b/>
                <w:kern w:val="0"/>
                <w:highlight w:val="none"/>
                <w:lang w:eastAsia="zh-CN"/>
              </w:rPr>
              <w:t>（</w:t>
            </w:r>
            <w:r>
              <w:rPr>
                <w:rFonts w:hint="eastAsia" w:ascii="宋体" w:hAnsi="宋体" w:cs="宋体"/>
                <w:b/>
                <w:kern w:val="0"/>
                <w:highlight w:val="none"/>
                <w:lang w:val="en-US" w:eastAsia="zh-CN"/>
              </w:rPr>
              <w:t>若需</w:t>
            </w:r>
            <w:r>
              <w:rPr>
                <w:rFonts w:hint="eastAsia" w:ascii="宋体" w:hAnsi="宋体" w:cs="宋体"/>
                <w:b/>
                <w:kern w:val="0"/>
                <w:highlight w:val="none"/>
                <w:lang w:eastAsia="zh-CN"/>
              </w:rPr>
              <w:t>）</w:t>
            </w:r>
            <w:r>
              <w:rPr>
                <w:rFonts w:hint="eastAsia" w:ascii="宋体" w:hAnsi="宋体" w:cs="宋体"/>
                <w:b/>
                <w:kern w:val="0"/>
                <w:highlight w:val="none"/>
              </w:rPr>
              <w:t>、临时用地、弃土、废浆、废弃物和垃圾清理外运、环保处理工作、场地恢复工作等等涉及施工过程中的全部措施，均由本项目承包人负全责，所需费用在相关项目报价时充分考虑。</w:t>
            </w:r>
          </w:p>
          <w:p w14:paraId="6877C74B">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a</w:t>
            </w:r>
            <w:r>
              <w:rPr>
                <w:rFonts w:hint="eastAsia" w:ascii="宋体" w:hAnsi="宋体" w:cs="宋体"/>
                <w:b/>
                <w:kern w:val="0"/>
                <w:highlight w:val="none"/>
              </w:rPr>
              <w:t>、承包人应按省市及地方相关管理单位对于弃土、排放泥浆、垃圾处理的有关规定办理相关手续，并按相关管理规定做好具体实施工作，同时满足发包人的管理要求，由此产生的费用由承包人自行考虑并承担相关费用。</w:t>
            </w:r>
          </w:p>
          <w:p w14:paraId="52D22DFC">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b</w:t>
            </w:r>
            <w:r>
              <w:rPr>
                <w:rFonts w:hint="eastAsia" w:ascii="宋体" w:hAnsi="宋体" w:cs="宋体"/>
                <w:b/>
                <w:kern w:val="0"/>
                <w:highlight w:val="none"/>
              </w:rPr>
              <w:t>、承包人进场后，应布设好场内的排水系统，施工排水必须经沉淀后才能排入附近河流或下水道，排放工作由承包人负全责；</w:t>
            </w:r>
          </w:p>
          <w:p w14:paraId="37F2E3B7">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c</w:t>
            </w:r>
            <w:r>
              <w:rPr>
                <w:rFonts w:hint="eastAsia" w:ascii="宋体" w:hAnsi="宋体" w:cs="宋体"/>
                <w:b/>
                <w:kern w:val="0"/>
                <w:highlight w:val="none"/>
              </w:rPr>
              <w:t>、承包人不得将泥浆等废弃物和废水直接丢弃和排放于河中，应采用循环利用或统一处理，并应满足环保的相关要求；</w:t>
            </w:r>
          </w:p>
          <w:p w14:paraId="1E4000DD">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d</w:t>
            </w:r>
            <w:r>
              <w:rPr>
                <w:rFonts w:hint="eastAsia" w:ascii="宋体" w:hAnsi="宋体" w:cs="宋体"/>
                <w:b/>
                <w:kern w:val="0"/>
                <w:highlight w:val="none"/>
              </w:rPr>
              <w:t>、在施工期间，承包人应对土方运输工作实行统一扎口管理，加大管理力度，完善管理制度，避免发生重大跑、冒、滴、漏现象和运输交通事故；交管部门规定若只能在夜间出土，承包人应服从交管部门的指令，合理安排施工计划；</w:t>
            </w:r>
          </w:p>
          <w:p w14:paraId="4976D168">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e</w:t>
            </w:r>
            <w:r>
              <w:rPr>
                <w:rFonts w:hint="eastAsia" w:ascii="宋体" w:hAnsi="宋体" w:cs="宋体"/>
                <w:b/>
                <w:kern w:val="0"/>
                <w:highlight w:val="none"/>
              </w:rPr>
              <w:t>、在施工期间，承包人应保证各种包装的完整，严禁运输装卸过程中抛漏。</w:t>
            </w:r>
          </w:p>
          <w:p w14:paraId="627E02C4">
            <w:pPr>
              <w:pStyle w:val="20"/>
              <w:adjustRightInd w:val="0"/>
              <w:snapToGrid w:val="0"/>
              <w:spacing w:after="0"/>
              <w:rPr>
                <w:rFonts w:hint="eastAsia" w:ascii="宋体" w:hAnsi="宋体" w:cs="宋体"/>
                <w:b/>
                <w:kern w:val="0"/>
                <w:highlight w:val="none"/>
              </w:rPr>
            </w:pPr>
            <w:r>
              <w:rPr>
                <w:rFonts w:ascii="宋体" w:hAnsi="宋体" w:cs="宋体"/>
                <w:b/>
                <w:kern w:val="0"/>
                <w:highlight w:val="none"/>
              </w:rPr>
              <w:t>f</w:t>
            </w:r>
            <w:r>
              <w:rPr>
                <w:rFonts w:hint="eastAsia" w:ascii="宋体" w:hAnsi="宋体" w:cs="宋体"/>
                <w:b/>
                <w:kern w:val="0"/>
                <w:highlight w:val="none"/>
              </w:rPr>
              <w:t>、对于弃土</w:t>
            </w:r>
            <w:r>
              <w:rPr>
                <w:rFonts w:ascii="宋体" w:hAnsi="宋体" w:cs="宋体"/>
                <w:b/>
                <w:kern w:val="0"/>
                <w:highlight w:val="none"/>
              </w:rPr>
              <w:t>(</w:t>
            </w:r>
            <w:r>
              <w:rPr>
                <w:rFonts w:hint="eastAsia" w:ascii="宋体" w:hAnsi="宋体" w:cs="宋体"/>
                <w:b/>
                <w:kern w:val="0"/>
                <w:highlight w:val="none"/>
              </w:rPr>
              <w:t>泥浆</w:t>
            </w:r>
            <w:r>
              <w:rPr>
                <w:rFonts w:ascii="宋体" w:hAnsi="宋体" w:cs="宋体"/>
                <w:b/>
                <w:kern w:val="0"/>
                <w:highlight w:val="none"/>
              </w:rPr>
              <w:t>)</w:t>
            </w:r>
            <w:r>
              <w:rPr>
                <w:rFonts w:hint="eastAsia" w:ascii="宋体" w:hAnsi="宋体" w:cs="宋体"/>
                <w:b/>
                <w:kern w:val="0"/>
                <w:highlight w:val="none"/>
              </w:rPr>
              <w:t>工作，应满足以下要求：</w:t>
            </w:r>
          </w:p>
          <w:p w14:paraId="1BE0F2F1">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承包人自行办理相关的土方运输许可及运输手续，所有安全文明施工及手续符合南通市渣土运输的相关管理规定。</w:t>
            </w:r>
          </w:p>
          <w:p w14:paraId="496FB97B">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业主不提供临时堆土场与渣土堆放场地，承包人应自行调查、解决，且渣土堆放应符合南通市相关的环保管理规定。本项目外借土方发包人不提供土源，承包人自行解决。</w:t>
            </w:r>
          </w:p>
          <w:p w14:paraId="6C47464A">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土方输过程中不得有抛洒滴漏现象，同时按地方相关规定加强运输期间场地、道路的保洁工作；</w:t>
            </w:r>
          </w:p>
          <w:p w14:paraId="55F5EA8C">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土方运输所经道路如发生意外抛洒滴漏的，承包人因安排保洁人员及时清理，并对道路进行冲洗。</w:t>
            </w:r>
          </w:p>
          <w:p w14:paraId="1A8014EF">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承包人应做好土方运输管理工作，所有土方不得有私拉乱倒现象发生。</w:t>
            </w:r>
          </w:p>
          <w:p w14:paraId="6F4CEDCD">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承包人运输及回填前需提前与发包人、监理确认土方堆放地点及场地平整要求和临时覆盖事宜。</w:t>
            </w:r>
          </w:p>
          <w:p w14:paraId="1CF143CA">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承包人应严格进行土方运输、堆放期间的各项安全管理；临时土方堆场不做硬质化处理，土方堆放期间需按要求设置必须采取彩钢板围挡全封闭，不得透光，围挡应整洁美观，并做好防尘措施；</w:t>
            </w:r>
          </w:p>
          <w:p w14:paraId="37CDA3DE">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承包人运输过程中，及时做好车辆清洗工作，保证道路的保洁。</w:t>
            </w:r>
          </w:p>
          <w:p w14:paraId="335FF5CE">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在施工期间，若因承包人违规施工而造成环境与设施的污染、破坏，发包人将要求追究承包人所有责任。</w:t>
            </w:r>
          </w:p>
          <w:p w14:paraId="562FA335">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承包人因执行以上各项要求而发生的一切费用应含在相关细目报价中，不单独计量与支付，投标人在投标报价时应充分考虑。</w:t>
            </w:r>
          </w:p>
          <w:p w14:paraId="5A2EE29D">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⑥承包人需保护好工程范围内的施工场地，如在工程范围内出现建筑垃圾、土方</w:t>
            </w:r>
            <w:r>
              <w:rPr>
                <w:rFonts w:ascii="宋体" w:hAnsi="宋体" w:cs="宋体"/>
                <w:b/>
                <w:kern w:val="0"/>
                <w:highlight w:val="none"/>
              </w:rPr>
              <w:t>(</w:t>
            </w:r>
            <w:r>
              <w:rPr>
                <w:rFonts w:hint="eastAsia" w:ascii="宋体" w:hAnsi="宋体" w:cs="宋体"/>
                <w:b/>
                <w:kern w:val="0"/>
                <w:highlight w:val="none"/>
              </w:rPr>
              <w:t>含偷倒土方</w:t>
            </w:r>
            <w:r>
              <w:rPr>
                <w:rFonts w:ascii="宋体" w:hAnsi="宋体" w:cs="宋体"/>
                <w:b/>
                <w:kern w:val="0"/>
                <w:highlight w:val="none"/>
              </w:rPr>
              <w:t>)</w:t>
            </w:r>
            <w:r>
              <w:rPr>
                <w:rFonts w:hint="eastAsia" w:ascii="宋体" w:hAnsi="宋体" w:cs="宋体"/>
                <w:b/>
                <w:kern w:val="0"/>
                <w:highlight w:val="none"/>
              </w:rPr>
              <w:t>等，需由承包人自行承担清理，费用自理，投标人在投标报价时应予充分考虑。</w:t>
            </w:r>
          </w:p>
          <w:p w14:paraId="01706064">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⑦本项目发包人不提供生产用电、用水接口，需要承包人自行对接用电、用水部门，且实际施工时可能不具备等待施工用电接入后再施工的条件，即前期工程的实施可能需要考虑自发电，相关费用，投标人在投标报价时应予充分考虑。</w:t>
            </w:r>
          </w:p>
          <w:p w14:paraId="2D5BB399">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⑧投标人应进行必要的现场踏勘，了解项目实施地的施工场地及周边地貌情况，本项目施工场地</w:t>
            </w:r>
            <w:r>
              <w:rPr>
                <w:rFonts w:ascii="宋体" w:hAnsi="宋体" w:cs="宋体"/>
                <w:b/>
                <w:kern w:val="0"/>
                <w:highlight w:val="none"/>
              </w:rPr>
              <w:t>(</w:t>
            </w:r>
            <w:r>
              <w:rPr>
                <w:rFonts w:hint="eastAsia" w:ascii="宋体" w:hAnsi="宋体" w:cs="宋体"/>
                <w:b/>
                <w:kern w:val="0"/>
                <w:highlight w:val="none"/>
              </w:rPr>
              <w:t>含满足工程主体范围和有效的施工作业面位置的施工水域或场地，及临时占地</w:t>
            </w:r>
            <w:r>
              <w:rPr>
                <w:rFonts w:ascii="宋体" w:hAnsi="宋体" w:cs="宋体"/>
                <w:b/>
                <w:kern w:val="0"/>
                <w:highlight w:val="none"/>
              </w:rPr>
              <w:t>)</w:t>
            </w:r>
            <w:r>
              <w:rPr>
                <w:rFonts w:hint="eastAsia" w:ascii="宋体" w:hAnsi="宋体" w:cs="宋体"/>
                <w:b/>
                <w:kern w:val="0"/>
                <w:highlight w:val="none"/>
              </w:rPr>
              <w:t>的使用费用及施工场地的绿化、管线及其他设施的迁移、耕地复耕、绿化复原等的一切费用，投标人在投标报价中充分考虑，不单独计量与支付。</w:t>
            </w:r>
          </w:p>
          <w:p w14:paraId="22FBD6F9">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⑨为完成本项目施工，除清单列明的措施及一般项目之外，其它相关措施</w:t>
            </w:r>
            <w:r>
              <w:rPr>
                <w:rFonts w:ascii="宋体" w:hAnsi="宋体" w:cs="宋体"/>
                <w:b/>
                <w:kern w:val="0"/>
                <w:highlight w:val="none"/>
              </w:rPr>
              <w:t>[</w:t>
            </w:r>
            <w:r>
              <w:rPr>
                <w:rFonts w:hint="eastAsia" w:ascii="宋体" w:hAnsi="宋体" w:cs="宋体"/>
                <w:b/>
                <w:kern w:val="0"/>
                <w:highlight w:val="none"/>
              </w:rPr>
              <w:t>如：测量、泥浆输送、水上</w:t>
            </w:r>
            <w:r>
              <w:rPr>
                <w:rFonts w:ascii="宋体" w:hAnsi="宋体" w:cs="宋体"/>
                <w:b/>
                <w:kern w:val="0"/>
                <w:highlight w:val="none"/>
              </w:rPr>
              <w:t>(</w:t>
            </w:r>
            <w:r>
              <w:rPr>
                <w:rFonts w:hint="eastAsia" w:ascii="宋体" w:hAnsi="宋体" w:cs="宋体"/>
                <w:b/>
                <w:kern w:val="0"/>
                <w:highlight w:val="none"/>
              </w:rPr>
              <w:t>陆上</w:t>
            </w:r>
            <w:r>
              <w:rPr>
                <w:rFonts w:ascii="宋体" w:hAnsi="宋体" w:cs="宋体"/>
                <w:b/>
                <w:kern w:val="0"/>
                <w:highlight w:val="none"/>
              </w:rPr>
              <w:t>)</w:t>
            </w:r>
            <w:r>
              <w:rPr>
                <w:rFonts w:hint="eastAsia" w:ascii="宋体" w:hAnsi="宋体" w:cs="宋体"/>
                <w:b/>
                <w:kern w:val="0"/>
                <w:highlight w:val="none"/>
              </w:rPr>
              <w:t>施工平台等</w:t>
            </w:r>
            <w:r>
              <w:rPr>
                <w:rFonts w:ascii="宋体" w:hAnsi="宋体" w:cs="宋体"/>
                <w:b/>
                <w:kern w:val="0"/>
                <w:highlight w:val="none"/>
              </w:rPr>
              <w:t>]</w:t>
            </w:r>
            <w:r>
              <w:rPr>
                <w:rFonts w:hint="eastAsia" w:ascii="宋体" w:hAnsi="宋体" w:cs="宋体"/>
                <w:b/>
                <w:kern w:val="0"/>
                <w:highlight w:val="none"/>
              </w:rPr>
              <w:t>均不单独计量与支付，包含在相关项目单价或总额价中。发包人向承包人交付施工水域后，承包人应尽快沿水域边界布置明显标志防止外来干扰，施工期间，承包人应对交付水域负责照管。如未尽照管责任导致施工暂停的，承包人应尽快恢复，必要时发包人将予以协助，但窝工费用由承包人自行承担。投标人必须无条件地服从发包人和现场监理的协调，由此可能发生的费用应计入报价中，在合同实施过程中，发包人不另承担由此产生的一切费用。承包人在工程建设期间不得损坏和污染招标发包人已完成的其他任何工程。</w:t>
            </w:r>
          </w:p>
          <w:p w14:paraId="7EC886CA">
            <w:pPr>
              <w:pStyle w:val="20"/>
              <w:adjustRightInd w:val="0"/>
              <w:snapToGrid w:val="0"/>
              <w:spacing w:after="0"/>
              <w:rPr>
                <w:rFonts w:hint="eastAsia" w:ascii="宋体" w:hAnsi="宋体" w:cs="宋体"/>
                <w:b/>
                <w:kern w:val="0"/>
                <w:highlight w:val="none"/>
              </w:rPr>
            </w:pPr>
            <w:r>
              <w:rPr>
                <w:rFonts w:hint="eastAsia" w:ascii="宋体" w:hAnsi="宋体" w:cs="宋体"/>
                <w:b/>
                <w:kern w:val="0"/>
                <w:highlight w:val="none"/>
              </w:rPr>
              <w:t>承包人在合同实施过程中须按</w:t>
            </w:r>
            <w:r>
              <w:rPr>
                <w:rFonts w:hint="eastAsia" w:ascii="宋体" w:hAnsi="宋体" w:eastAsia="宋体" w:cs="宋体"/>
                <w:b/>
                <w:kern w:val="0"/>
                <w:highlight w:val="none"/>
                <w:lang w:val="en-US" w:eastAsia="zh-CN"/>
              </w:rPr>
              <w:t>相关文件要求</w:t>
            </w:r>
            <w:r>
              <w:rPr>
                <w:rFonts w:hint="eastAsia" w:ascii="宋体" w:hAnsi="宋体" w:cs="宋体"/>
                <w:b/>
                <w:kern w:val="0"/>
                <w:highlight w:val="none"/>
              </w:rPr>
              <w:t>做好生态环境保护工作。</w:t>
            </w:r>
          </w:p>
          <w:p w14:paraId="099E7DF7">
            <w:pPr>
              <w:rPr>
                <w:rFonts w:hint="eastAsia" w:ascii="Cambria Math" w:hAnsi="Cambria Math" w:cs="Cambria Math"/>
                <w:b/>
                <w:bCs/>
                <w:highlight w:val="none"/>
              </w:rPr>
            </w:pPr>
            <w:r>
              <w:rPr>
                <w:rFonts w:hint="eastAsia" w:ascii="宋体" w:hAnsi="宋体" w:cs="宋体"/>
                <w:b/>
                <w:kern w:val="0"/>
                <w:highlight w:val="none"/>
              </w:rPr>
              <w:t>⑩</w:t>
            </w:r>
            <w:r>
              <w:rPr>
                <w:rFonts w:hint="eastAsia" w:ascii="Cambria Math" w:hAnsi="Cambria Math" w:cs="Cambria Math"/>
                <w:b/>
                <w:bCs/>
                <w:highlight w:val="none"/>
              </w:rPr>
              <w:t>投标人应做好因为本标段施工过程中对周边环境及设施、结构物稳定可能造成影响的安全保护，及时按要求做好动态监测，相关费用包含在投标报价中，不单独计量与支付。</w:t>
            </w:r>
          </w:p>
          <w:p w14:paraId="64D2D113">
            <w:pPr>
              <w:rPr>
                <w:rFonts w:hint="eastAsia" w:ascii="Cambria Math" w:hAnsi="Cambria Math" w:cs="Cambria Math"/>
                <w:b/>
                <w:bCs/>
                <w:kern w:val="2"/>
                <w:highlight w:val="none"/>
              </w:rPr>
            </w:pPr>
            <w:r>
              <w:rPr>
                <w:rFonts w:hint="eastAsia" w:ascii="宋体" w:hAnsi="宋体" w:cs="宋体"/>
                <w:b/>
                <w:kern w:val="0"/>
                <w:highlight w:val="none"/>
              </w:rPr>
              <w:t>⑪</w:t>
            </w:r>
            <w:r>
              <w:rPr>
                <w:rFonts w:hint="eastAsia" w:ascii="宋体" w:hAnsi="宋体" w:cs="宋体"/>
                <w:b/>
                <w:kern w:val="0"/>
                <w:highlight w:val="none"/>
                <w:lang w:val="en-US" w:eastAsia="zh-CN"/>
              </w:rPr>
              <w:t>本项目施工过程中产生的车辆运输费等一切交通费用，投标报价时</w:t>
            </w:r>
            <w:r>
              <w:rPr>
                <w:rFonts w:hint="eastAsia" w:ascii="宋体" w:hAnsi="宋体" w:cs="宋体"/>
                <w:b/>
                <w:kern w:val="0"/>
                <w:highlight w:val="none"/>
              </w:rPr>
              <w:t>在相关项</w:t>
            </w:r>
            <w:r>
              <w:rPr>
                <w:rFonts w:hint="eastAsia" w:ascii="Cambria Math" w:hAnsi="Cambria Math" w:cs="Cambria Math"/>
                <w:b/>
                <w:bCs/>
                <w:kern w:val="2"/>
                <w:highlight w:val="none"/>
              </w:rPr>
              <w:t>目单价或总额价中予以充分考虑，不单独计量与支付。</w:t>
            </w:r>
          </w:p>
          <w:p w14:paraId="129A8234">
            <w:pPr>
              <w:rPr>
                <w:rFonts w:hint="eastAsia" w:ascii="Cambria Math" w:hAnsi="Cambria Math" w:cs="Cambria Math"/>
                <w:b/>
                <w:bCs/>
                <w:color w:val="FF0000"/>
                <w:kern w:val="2"/>
                <w:highlight w:val="none"/>
                <w:u w:val="double"/>
              </w:rPr>
            </w:pPr>
            <w:r>
              <w:rPr>
                <w:rFonts w:hint="eastAsia" w:ascii="Cambria Math" w:hAnsi="Cambria Math" w:cs="Cambria Math"/>
                <w:b/>
                <w:bCs/>
                <w:color w:val="FF0000"/>
                <w:kern w:val="2"/>
                <w:highlight w:val="none"/>
                <w:u w:val="double"/>
              </w:rPr>
              <w:t>（10）本项目最高投标限价为</w:t>
            </w:r>
            <w:r>
              <w:rPr>
                <w:rFonts w:hint="eastAsia" w:ascii="Cambria Math" w:hAnsi="Cambria Math" w:cs="Cambria Math"/>
                <w:b/>
                <w:bCs/>
                <w:color w:val="FF0000"/>
                <w:kern w:val="2"/>
                <w:highlight w:val="none"/>
                <w:u w:val="double"/>
                <w:lang w:val="en-US" w:eastAsia="zh-CN"/>
              </w:rPr>
              <w:t>叁拾壹万伍仟壹佰零陆</w:t>
            </w:r>
            <w:r>
              <w:rPr>
                <w:rFonts w:hint="eastAsia" w:ascii="Cambria Math" w:hAnsi="Cambria Math" w:cs="Cambria Math"/>
                <w:b/>
                <w:bCs/>
                <w:color w:val="FF0000"/>
                <w:kern w:val="2"/>
                <w:highlight w:val="none"/>
                <w:u w:val="double"/>
              </w:rPr>
              <w:t>元（¥</w:t>
            </w:r>
            <w:r>
              <w:rPr>
                <w:rFonts w:hint="eastAsia" w:ascii="Cambria Math" w:hAnsi="Cambria Math" w:cs="Cambria Math"/>
                <w:b/>
                <w:bCs/>
                <w:color w:val="FF0000"/>
                <w:kern w:val="2"/>
                <w:highlight w:val="none"/>
                <w:u w:val="double"/>
                <w:lang w:val="en-US" w:eastAsia="zh-CN"/>
              </w:rPr>
              <w:t xml:space="preserve">315106 </w:t>
            </w:r>
            <w:r>
              <w:rPr>
                <w:rFonts w:hint="eastAsia" w:ascii="Cambria Math" w:hAnsi="Cambria Math" w:cs="Cambria Math"/>
                <w:b/>
                <w:bCs/>
                <w:color w:val="FF0000"/>
                <w:kern w:val="2"/>
                <w:highlight w:val="none"/>
                <w:u w:val="double"/>
              </w:rPr>
              <w:t>元）。</w:t>
            </w:r>
          </w:p>
          <w:p w14:paraId="24AED3CC">
            <w:pPr>
              <w:adjustRightInd w:val="0"/>
              <w:snapToGrid w:val="0"/>
              <w:rPr>
                <w:rFonts w:hint="eastAsia" w:ascii="宋体" w:hAnsi="宋体"/>
                <w:b/>
                <w:highlight w:val="none"/>
              </w:rPr>
            </w:pPr>
            <w:r>
              <w:rPr>
                <w:rFonts w:ascii="宋体" w:hAnsi="宋体"/>
                <w:b/>
                <w:highlight w:val="none"/>
              </w:rPr>
              <w:t>2</w:t>
            </w:r>
            <w:r>
              <w:rPr>
                <w:rFonts w:hint="eastAsia" w:ascii="宋体" w:hAnsi="宋体"/>
                <w:b/>
                <w:highlight w:val="none"/>
              </w:rPr>
              <w:t>、第三条投标文件</w:t>
            </w:r>
          </w:p>
          <w:p w14:paraId="06DAF1C0">
            <w:pPr>
              <w:adjustRightInd w:val="0"/>
              <w:snapToGrid w:val="0"/>
              <w:rPr>
                <w:rFonts w:hint="eastAsia" w:ascii="宋体" w:hAnsi="宋体"/>
                <w:b/>
                <w:highlight w:val="none"/>
              </w:rPr>
            </w:pPr>
            <w:r>
              <w:rPr>
                <w:rFonts w:hint="eastAsia" w:ascii="宋体" w:hAnsi="宋体"/>
                <w:b/>
                <w:highlight w:val="none"/>
              </w:rPr>
              <w:t>●</w:t>
            </w:r>
            <w:r>
              <w:rPr>
                <w:rFonts w:ascii="宋体" w:hAnsi="宋体"/>
                <w:b/>
                <w:highlight w:val="none"/>
              </w:rPr>
              <w:t>3.4.4</w:t>
            </w:r>
            <w:r>
              <w:rPr>
                <w:rFonts w:hint="eastAsia" w:ascii="宋体" w:hAnsi="宋体"/>
                <w:b/>
                <w:highlight w:val="none"/>
              </w:rPr>
              <w:t>项修改为：</w:t>
            </w:r>
          </w:p>
          <w:p w14:paraId="7A09046E">
            <w:pPr>
              <w:adjustRightInd w:val="0"/>
              <w:snapToGrid w:val="0"/>
              <w:rPr>
                <w:rFonts w:hint="eastAsia" w:ascii="宋体" w:hAnsi="宋体"/>
                <w:bCs/>
                <w:highlight w:val="none"/>
              </w:rPr>
            </w:pPr>
            <w:r>
              <w:rPr>
                <w:rFonts w:hint="eastAsia" w:ascii="宋体" w:hAnsi="宋体"/>
                <w:bCs/>
                <w:highlight w:val="none"/>
              </w:rPr>
              <w:t>招标人最迟将在中标通知书发出后</w:t>
            </w:r>
            <w:r>
              <w:rPr>
                <w:rFonts w:ascii="宋体" w:hAnsi="宋体"/>
                <w:bCs/>
                <w:highlight w:val="none"/>
              </w:rPr>
              <w:t>5</w:t>
            </w:r>
            <w:r>
              <w:rPr>
                <w:rFonts w:hint="eastAsia" w:ascii="宋体" w:hAnsi="宋体"/>
                <w:bCs/>
                <w:highlight w:val="none"/>
              </w:rPr>
              <w:t>日内向中标候选人以外的其他投标人退还投标保证金，与中标人签订合同后</w:t>
            </w:r>
            <w:r>
              <w:rPr>
                <w:rFonts w:ascii="宋体" w:hAnsi="宋体"/>
                <w:bCs/>
                <w:highlight w:val="none"/>
              </w:rPr>
              <w:t>5</w:t>
            </w:r>
            <w:r>
              <w:rPr>
                <w:rFonts w:hint="eastAsia" w:ascii="宋体" w:hAnsi="宋体"/>
                <w:bCs/>
                <w:highlight w:val="none"/>
              </w:rPr>
              <w:t>日内向中标人和其他中标候选人退还投标保证金。投标保证金以现金或支票形式递交的，招标人应同时退还投标保证金的银行同期活期存款利息，且退还至投标人的基本账户。</w:t>
            </w:r>
          </w:p>
          <w:p w14:paraId="42815404">
            <w:pPr>
              <w:adjustRightInd w:val="0"/>
              <w:snapToGrid w:val="0"/>
              <w:rPr>
                <w:rFonts w:hint="eastAsia" w:ascii="宋体" w:hAnsi="宋体"/>
                <w:b/>
                <w:highlight w:val="none"/>
              </w:rPr>
            </w:pPr>
            <w:r>
              <w:rPr>
                <w:rFonts w:hint="eastAsia" w:ascii="宋体" w:hAnsi="宋体"/>
                <w:b/>
                <w:highlight w:val="none"/>
              </w:rPr>
              <w:t>●增加：</w:t>
            </w:r>
          </w:p>
          <w:p w14:paraId="1BE73AFC">
            <w:pPr>
              <w:adjustRightInd w:val="0"/>
              <w:snapToGrid w:val="0"/>
              <w:rPr>
                <w:rFonts w:hint="eastAsia" w:ascii="宋体" w:hAnsi="宋体"/>
                <w:b/>
                <w:highlight w:val="none"/>
              </w:rPr>
            </w:pPr>
            <w:r>
              <w:rPr>
                <w:rFonts w:ascii="宋体" w:hAnsi="宋体"/>
                <w:b/>
                <w:highlight w:val="none"/>
              </w:rPr>
              <w:t xml:space="preserve">3.4.3 </w:t>
            </w:r>
            <w:r>
              <w:rPr>
                <w:rFonts w:hint="eastAsia" w:ascii="宋体" w:hAnsi="宋体"/>
                <w:b/>
                <w:highlight w:val="none"/>
              </w:rPr>
              <w:t>投标保证金利息计算原则：</w:t>
            </w:r>
          </w:p>
          <w:p w14:paraId="51544DC8">
            <w:pPr>
              <w:adjustRightInd w:val="0"/>
              <w:snapToGrid w:val="0"/>
              <w:rPr>
                <w:rFonts w:hint="eastAsia" w:ascii="宋体" w:hAnsi="宋体"/>
                <w:bCs/>
                <w:highlight w:val="none"/>
              </w:rPr>
            </w:pPr>
            <w:r>
              <w:rPr>
                <w:rFonts w:ascii="宋体" w:hAnsi="宋体"/>
                <w:b/>
                <w:highlight w:val="none"/>
              </w:rPr>
              <w:t>(</w:t>
            </w:r>
            <w:r>
              <w:rPr>
                <w:rFonts w:ascii="宋体" w:hAnsi="宋体"/>
                <w:bCs/>
                <w:highlight w:val="none"/>
              </w:rPr>
              <w:t>1)</w:t>
            </w:r>
            <w:r>
              <w:rPr>
                <w:rFonts w:hint="eastAsia" w:ascii="宋体" w:hAnsi="宋体"/>
                <w:bCs/>
                <w:highlight w:val="none"/>
              </w:rPr>
              <w:t>计算利息的起始日期为投标截止当日，终止日期为招标人退还投标保证金日期的前一天；</w:t>
            </w:r>
          </w:p>
          <w:p w14:paraId="7C7F259C">
            <w:pPr>
              <w:adjustRightInd w:val="0"/>
              <w:snapToGrid w:val="0"/>
              <w:rPr>
                <w:rFonts w:hint="eastAsia" w:ascii="宋体" w:hAnsi="宋体"/>
                <w:bCs/>
                <w:highlight w:val="none"/>
              </w:rPr>
            </w:pPr>
            <w:r>
              <w:rPr>
                <w:rFonts w:ascii="宋体" w:hAnsi="宋体"/>
                <w:bCs/>
                <w:highlight w:val="none"/>
              </w:rPr>
              <w:t>(2)</w:t>
            </w:r>
            <w:r>
              <w:rPr>
                <w:rFonts w:hint="eastAsia" w:ascii="宋体" w:hAnsi="宋体"/>
                <w:bCs/>
                <w:highlight w:val="none"/>
              </w:rPr>
              <w:t>投标保证金的利息按照第（</w:t>
            </w:r>
            <w:r>
              <w:rPr>
                <w:rFonts w:ascii="宋体" w:hAnsi="宋体"/>
                <w:bCs/>
                <w:highlight w:val="none"/>
              </w:rPr>
              <w:t>1</w:t>
            </w:r>
            <w:r>
              <w:rPr>
                <w:rFonts w:hint="eastAsia" w:ascii="宋体" w:hAnsi="宋体"/>
                <w:bCs/>
                <w:highlight w:val="none"/>
              </w:rPr>
              <w:t>）款所述计息时间段招标人指定汇入银行公告的活期存款利率计付，并扣除招标人（招标代理）汇款手续费；</w:t>
            </w:r>
          </w:p>
          <w:p w14:paraId="6232C00D">
            <w:pPr>
              <w:adjustRightInd w:val="0"/>
              <w:snapToGrid w:val="0"/>
              <w:rPr>
                <w:rFonts w:hint="eastAsia" w:ascii="宋体" w:hAnsi="宋体"/>
                <w:bCs/>
                <w:highlight w:val="none"/>
              </w:rPr>
            </w:pPr>
            <w:r>
              <w:rPr>
                <w:rFonts w:ascii="宋体" w:hAnsi="宋体"/>
                <w:bCs/>
                <w:highlight w:val="none"/>
              </w:rPr>
              <w:t>(3)</w:t>
            </w:r>
            <w:r>
              <w:rPr>
                <w:rFonts w:hint="eastAsia" w:ascii="宋体" w:hAnsi="宋体"/>
                <w:bCs/>
                <w:highlight w:val="none"/>
              </w:rPr>
              <w:t>利息金额计算至分位，分以下尾数四舍五入。</w:t>
            </w:r>
          </w:p>
          <w:p w14:paraId="478E9A18">
            <w:pPr>
              <w:pStyle w:val="20"/>
              <w:adjustRightInd w:val="0"/>
              <w:snapToGrid w:val="0"/>
              <w:spacing w:after="0"/>
              <w:rPr>
                <w:rFonts w:hint="eastAsia" w:ascii="宋体" w:hAnsi="宋体"/>
                <w:b/>
                <w:highlight w:val="none"/>
              </w:rPr>
            </w:pPr>
            <w:r>
              <w:rPr>
                <w:rFonts w:hint="eastAsia" w:ascii="宋体" w:hAnsi="宋体"/>
                <w:b/>
                <w:highlight w:val="none"/>
              </w:rPr>
              <w:t>●</w:t>
            </w:r>
            <w:r>
              <w:rPr>
                <w:rFonts w:ascii="宋体" w:hAnsi="宋体"/>
                <w:b/>
                <w:highlight w:val="none"/>
              </w:rPr>
              <w:t>3.5</w:t>
            </w:r>
            <w:r>
              <w:rPr>
                <w:rFonts w:hint="eastAsia" w:ascii="宋体" w:hAnsi="宋体"/>
                <w:b/>
                <w:highlight w:val="none"/>
              </w:rPr>
              <w:t>款修改为：</w:t>
            </w:r>
          </w:p>
          <w:p w14:paraId="5642BA58">
            <w:pPr>
              <w:rPr>
                <w:rFonts w:hint="eastAsia"/>
                <w:highlight w:val="none"/>
                <w:lang w:val="en-US" w:eastAsia="zh-CN"/>
              </w:rPr>
            </w:pPr>
            <w:r>
              <w:rPr>
                <w:rFonts w:hint="eastAsia"/>
                <w:highlight w:val="none"/>
              </w:rPr>
              <w:t>资格审查资料</w:t>
            </w:r>
            <w:r>
              <w:rPr>
                <w:rFonts w:hint="eastAsia"/>
                <w:highlight w:val="none"/>
                <w:lang w:val="en-US" w:eastAsia="zh-CN"/>
              </w:rPr>
              <w:t>按招标文件“第九章 投标文件格式”要求提供。</w:t>
            </w:r>
          </w:p>
          <w:p w14:paraId="45A2A73E">
            <w:pPr>
              <w:pStyle w:val="20"/>
              <w:adjustRightInd w:val="0"/>
              <w:snapToGrid w:val="0"/>
              <w:spacing w:after="0"/>
              <w:rPr>
                <w:rFonts w:hint="eastAsia" w:ascii="宋体" w:hAnsi="宋体"/>
                <w:b/>
                <w:highlight w:val="none"/>
              </w:rPr>
            </w:pPr>
            <w:r>
              <w:rPr>
                <w:rFonts w:ascii="宋体" w:hAnsi="宋体"/>
                <w:b/>
                <w:highlight w:val="none"/>
              </w:rPr>
              <w:t>3</w:t>
            </w:r>
            <w:r>
              <w:rPr>
                <w:rFonts w:hint="eastAsia" w:ascii="宋体" w:hAnsi="宋体"/>
                <w:b/>
                <w:highlight w:val="none"/>
              </w:rPr>
              <w:t>、第</w:t>
            </w:r>
            <w:r>
              <w:rPr>
                <w:rFonts w:ascii="宋体" w:hAnsi="宋体"/>
                <w:b/>
                <w:highlight w:val="none"/>
              </w:rPr>
              <w:t>4</w:t>
            </w:r>
            <w:r>
              <w:rPr>
                <w:rFonts w:hint="eastAsia" w:ascii="宋体" w:hAnsi="宋体"/>
                <w:b/>
                <w:highlight w:val="none"/>
              </w:rPr>
              <w:t>条投标</w:t>
            </w:r>
          </w:p>
          <w:p w14:paraId="01F274B6">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w:t>
            </w:r>
            <w:r>
              <w:rPr>
                <w:rFonts w:ascii="宋体" w:hAnsi="宋体" w:cs="宋体"/>
                <w:b/>
                <w:highlight w:val="none"/>
                <w:lang w:val="zh-CN"/>
              </w:rPr>
              <w:t>4.1</w:t>
            </w:r>
            <w:r>
              <w:rPr>
                <w:rFonts w:hint="eastAsia" w:ascii="宋体" w:hAnsi="宋体" w:cs="宋体"/>
                <w:b/>
                <w:highlight w:val="none"/>
                <w:lang w:val="zh-CN"/>
              </w:rPr>
              <w:t>款调整为：</w:t>
            </w:r>
          </w:p>
          <w:p w14:paraId="0FED4A15">
            <w:pPr>
              <w:widowControl/>
              <w:adjustRightInd w:val="0"/>
              <w:snapToGrid w:val="0"/>
              <w:rPr>
                <w:rFonts w:hint="eastAsia" w:ascii="宋体" w:hAnsi="宋体" w:eastAsia="宋体" w:cs="宋体"/>
                <w:b/>
                <w:color w:val="FF0000"/>
                <w:szCs w:val="21"/>
                <w:highlight w:val="none"/>
                <w:u w:val="double"/>
                <w:lang w:val="zh-CN"/>
              </w:rPr>
            </w:pPr>
            <w:r>
              <w:rPr>
                <w:rFonts w:hint="eastAsia" w:ascii="宋体" w:hAnsi="宋体" w:eastAsia="宋体" w:cs="宋体"/>
                <w:b/>
                <w:color w:val="FF0000"/>
                <w:szCs w:val="21"/>
                <w:highlight w:val="none"/>
                <w:u w:val="double"/>
                <w:lang w:val="zh-CN"/>
              </w:rPr>
              <w:t>投标文件应采用双信封形式密封。投标文件第一个信封（商务及技术文件）以及第二个信封（报价文件）应单独密封包装，</w:t>
            </w:r>
            <w:r>
              <w:rPr>
                <w:rFonts w:hint="eastAsia" w:ascii="宋体" w:hAnsi="宋体" w:eastAsia="宋体" w:cs="宋体"/>
                <w:b/>
                <w:color w:val="FF0000"/>
                <w:szCs w:val="21"/>
                <w:highlight w:val="none"/>
                <w:u w:val="double"/>
                <w:lang w:val="en-US" w:eastAsia="zh-CN"/>
              </w:rPr>
              <w:t>并</w:t>
            </w:r>
            <w:r>
              <w:rPr>
                <w:rFonts w:hint="eastAsia" w:ascii="宋体" w:hAnsi="宋体" w:eastAsia="宋体" w:cs="宋体"/>
                <w:b/>
                <w:color w:val="FF0000"/>
                <w:szCs w:val="21"/>
                <w:highlight w:val="none"/>
                <w:u w:val="double"/>
                <w:lang w:val="zh-CN"/>
              </w:rPr>
              <w:t>在封套的封口处加盖投标人单位章，封套上应写明的其他内容见投标人须知前附表。</w:t>
            </w:r>
            <w:r>
              <w:rPr>
                <w:rFonts w:hint="eastAsia" w:ascii="宋体" w:hAnsi="宋体" w:eastAsia="宋体" w:cs="宋体"/>
                <w:b/>
                <w:color w:val="FF0000"/>
                <w:szCs w:val="21"/>
                <w:highlight w:val="none"/>
                <w:u w:val="double"/>
                <w:lang w:val="en-US" w:eastAsia="zh-CN"/>
              </w:rPr>
              <w:t>未按照上述</w:t>
            </w:r>
            <w:r>
              <w:rPr>
                <w:rFonts w:hint="eastAsia" w:ascii="宋体" w:hAnsi="宋体" w:eastAsia="宋体" w:cs="宋体"/>
                <w:b/>
                <w:color w:val="FF0000"/>
                <w:szCs w:val="21"/>
                <w:highlight w:val="none"/>
                <w:u w:val="double"/>
                <w:lang w:val="zh-CN"/>
              </w:rPr>
              <w:t>要求密封和加写标记的投标文件，招标人不予受理。</w:t>
            </w:r>
          </w:p>
          <w:p w14:paraId="464D673E">
            <w:pPr>
              <w:widowControl/>
              <w:adjustRightInd w:val="0"/>
              <w:snapToGrid w:val="0"/>
              <w:rPr>
                <w:rFonts w:hint="eastAsia" w:ascii="宋体" w:hAnsi="宋体" w:eastAsia="宋体" w:cs="宋体"/>
                <w:b/>
                <w:color w:val="FF0000"/>
                <w:szCs w:val="21"/>
                <w:highlight w:val="none"/>
                <w:u w:val="double"/>
                <w:lang w:val="en-US"/>
              </w:rPr>
            </w:pPr>
            <w:r>
              <w:rPr>
                <w:rFonts w:hint="eastAsia" w:ascii="宋体" w:hAnsi="宋体" w:eastAsia="宋体" w:cs="宋体"/>
                <w:b/>
                <w:color w:val="FF0000"/>
                <w:szCs w:val="21"/>
                <w:highlight w:val="none"/>
                <w:u w:val="double"/>
                <w:lang w:val="zh-CN"/>
              </w:rPr>
              <w:t>电子版投标文件（U盘一份）</w:t>
            </w:r>
            <w:r>
              <w:rPr>
                <w:rFonts w:hint="eastAsia" w:ascii="宋体" w:hAnsi="宋体" w:eastAsia="宋体" w:cs="宋体"/>
                <w:b/>
                <w:color w:val="FF0000"/>
                <w:szCs w:val="21"/>
                <w:highlight w:val="none"/>
                <w:u w:val="double"/>
                <w:lang w:val="en-US" w:eastAsia="zh-CN"/>
              </w:rPr>
              <w:t>应密封至</w:t>
            </w:r>
            <w:r>
              <w:rPr>
                <w:rFonts w:hint="eastAsia" w:ascii="宋体" w:hAnsi="宋体" w:eastAsia="宋体" w:cs="宋体"/>
                <w:b/>
                <w:color w:val="FF0000"/>
                <w:szCs w:val="21"/>
                <w:highlight w:val="none"/>
                <w:u w:val="double"/>
                <w:lang w:val="zh-CN"/>
              </w:rPr>
              <w:t>第二个信封（报价文件）</w:t>
            </w:r>
            <w:r>
              <w:rPr>
                <w:rFonts w:hint="eastAsia" w:ascii="宋体" w:hAnsi="宋体" w:eastAsia="宋体" w:cs="宋体"/>
                <w:b/>
                <w:color w:val="FF0000"/>
                <w:szCs w:val="21"/>
                <w:highlight w:val="none"/>
                <w:u w:val="double"/>
                <w:lang w:val="en-US" w:eastAsia="zh-CN"/>
              </w:rPr>
              <w:t>中。</w:t>
            </w:r>
          </w:p>
          <w:p w14:paraId="1587CC25">
            <w:pPr>
              <w:widowControl/>
              <w:adjustRightInd w:val="0"/>
              <w:snapToGrid w:val="0"/>
              <w:rPr>
                <w:rFonts w:hint="eastAsia" w:ascii="宋体" w:hAnsi="宋体" w:cs="宋体"/>
                <w:b/>
                <w:highlight w:val="none"/>
                <w:lang w:val="zh-CN"/>
              </w:rPr>
            </w:pPr>
            <w:r>
              <w:rPr>
                <w:rFonts w:ascii="宋体" w:hAnsi="宋体" w:cs="宋体"/>
                <w:b/>
                <w:highlight w:val="none"/>
                <w:lang w:val="zh-CN"/>
              </w:rPr>
              <w:t>4</w:t>
            </w:r>
            <w:r>
              <w:rPr>
                <w:rFonts w:hint="eastAsia" w:ascii="宋体" w:hAnsi="宋体" w:cs="宋体"/>
                <w:b/>
                <w:highlight w:val="none"/>
                <w:lang w:val="zh-CN"/>
              </w:rPr>
              <w:t>、第</w:t>
            </w:r>
            <w:r>
              <w:rPr>
                <w:rFonts w:ascii="宋体" w:hAnsi="宋体" w:cs="宋体"/>
                <w:b/>
                <w:highlight w:val="none"/>
                <w:lang w:val="zh-CN"/>
              </w:rPr>
              <w:t xml:space="preserve">5条 </w:t>
            </w:r>
            <w:r>
              <w:rPr>
                <w:rFonts w:hint="eastAsia" w:ascii="宋体" w:hAnsi="宋体" w:cs="宋体"/>
                <w:b/>
                <w:highlight w:val="none"/>
                <w:lang w:val="zh-CN"/>
              </w:rPr>
              <w:t>开标：</w:t>
            </w:r>
          </w:p>
          <w:p w14:paraId="40723551">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w:t>
            </w:r>
            <w:r>
              <w:rPr>
                <w:rFonts w:ascii="宋体" w:hAnsi="宋体" w:cs="宋体"/>
                <w:b/>
                <w:highlight w:val="none"/>
                <w:lang w:val="zh-CN"/>
              </w:rPr>
              <w:t>5.2</w:t>
            </w:r>
            <w:r>
              <w:rPr>
                <w:rFonts w:hint="eastAsia" w:ascii="宋体" w:hAnsi="宋体" w:cs="宋体"/>
                <w:b/>
                <w:highlight w:val="none"/>
                <w:lang w:val="zh-CN"/>
              </w:rPr>
              <w:t>款调整为：</w:t>
            </w:r>
          </w:p>
          <w:p w14:paraId="4B5C0518">
            <w:pPr>
              <w:widowControl/>
              <w:adjustRightInd w:val="0"/>
              <w:snapToGrid w:val="0"/>
              <w:rPr>
                <w:rFonts w:hint="eastAsia" w:ascii="宋体" w:hAnsi="宋体" w:cs="宋体"/>
                <w:b/>
                <w:highlight w:val="none"/>
                <w:lang w:val="zh-CN"/>
              </w:rPr>
            </w:pPr>
            <w:r>
              <w:rPr>
                <w:rFonts w:ascii="宋体" w:hAnsi="宋体" w:cs="宋体"/>
                <w:b/>
                <w:highlight w:val="none"/>
                <w:lang w:val="zh-CN"/>
              </w:rPr>
              <w:t>5.2.1主持人按下列程序对投标文件第一个信封（商务及技术文件）进行开标：</w:t>
            </w:r>
          </w:p>
          <w:p w14:paraId="66E70330">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（1）宣布开标纪律；</w:t>
            </w:r>
          </w:p>
          <w:p w14:paraId="0D5DFE4E">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（2）公布在投标截止时间前递交投标文件的投标人数量；</w:t>
            </w:r>
          </w:p>
          <w:p w14:paraId="268E4DF6">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（3）由投标人代表检查投标文件的密封情况；</w:t>
            </w:r>
          </w:p>
          <w:p w14:paraId="3FF7C023">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（4）公布标段名称、投标人名称、投标函中主要内容，并记录在案；</w:t>
            </w:r>
          </w:p>
          <w:p w14:paraId="2277A461">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（5）投标人代表、记录人等有关人员在开标记录上签字确认；</w:t>
            </w:r>
          </w:p>
          <w:p w14:paraId="66529EF6">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（6）开标结束。</w:t>
            </w:r>
          </w:p>
          <w:p w14:paraId="2F4A1CAA">
            <w:pPr>
              <w:widowControl/>
              <w:adjustRightInd w:val="0"/>
              <w:snapToGrid w:val="0"/>
              <w:rPr>
                <w:rFonts w:hint="eastAsia" w:ascii="宋体" w:hAnsi="宋体" w:cs="宋体"/>
                <w:b/>
                <w:highlight w:val="none"/>
                <w:lang w:val="zh-CN"/>
              </w:rPr>
            </w:pPr>
            <w:r>
              <w:rPr>
                <w:rFonts w:ascii="宋体" w:hAnsi="宋体" w:cs="宋体"/>
                <w:b/>
                <w:highlight w:val="none"/>
                <w:lang w:val="zh-CN"/>
              </w:rPr>
              <w:t>5.2.</w:t>
            </w:r>
            <w:r>
              <w:rPr>
                <w:rFonts w:hint="eastAsia" w:ascii="宋体" w:hAnsi="宋体" w:cs="宋体"/>
                <w:b/>
                <w:highlight w:val="none"/>
                <w:lang w:val="en-US" w:eastAsia="zh-CN"/>
              </w:rPr>
              <w:t>2</w:t>
            </w:r>
            <w:r>
              <w:rPr>
                <w:rFonts w:ascii="宋体" w:hAnsi="宋体" w:cs="宋体"/>
                <w:b/>
                <w:highlight w:val="none"/>
                <w:lang w:val="zh-CN"/>
              </w:rPr>
              <w:t xml:space="preserve">招标人将按照本章第 5.1 </w:t>
            </w:r>
            <w:r>
              <w:rPr>
                <w:rFonts w:hint="eastAsia" w:ascii="宋体" w:hAnsi="宋体" w:cs="宋体"/>
                <w:b/>
                <w:highlight w:val="none"/>
                <w:lang w:val="zh-CN"/>
              </w:rPr>
              <w:t>款规定的时间和地点对投标文件第二个信封（报价文件）进行开标。主持人按下列程序进行开标：</w:t>
            </w:r>
          </w:p>
          <w:p w14:paraId="010C6062">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（1）宣布通过投标文件第一个信封（商务及技术文件）的投标人名单及评审结果；</w:t>
            </w:r>
          </w:p>
          <w:p w14:paraId="0C49369E">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（2）拆封通过投标文件第一个信封（商务及技术文件）评审的投标文件第二个信封（报价文件），公布标段名称、投标人名称、投标报价及其他内容（如有），并记录在案；</w:t>
            </w:r>
          </w:p>
          <w:p w14:paraId="1EB95B75">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（3）计算并宣布评标基准价；</w:t>
            </w:r>
          </w:p>
          <w:p w14:paraId="7449EF2F">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（4）将未通过投标文件第一个信封（商务及技术文件）评审的投标文件第二个信封（报价文件）退还给投标人；</w:t>
            </w:r>
          </w:p>
          <w:p w14:paraId="2B5DA331">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（5）投标人代表、记录人等有关人员在开标记录上签字确认；</w:t>
            </w:r>
          </w:p>
          <w:p w14:paraId="3F95323E">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（6）开标结束。</w:t>
            </w:r>
          </w:p>
          <w:p w14:paraId="5B041453">
            <w:pPr>
              <w:widowControl/>
              <w:adjustRightInd w:val="0"/>
              <w:snapToGrid w:val="0"/>
              <w:rPr>
                <w:rFonts w:hint="eastAsia" w:ascii="宋体" w:hAnsi="宋体" w:cs="宋体"/>
                <w:b/>
                <w:highlight w:val="none"/>
                <w:lang w:val="zh-CN"/>
              </w:rPr>
            </w:pPr>
            <w:r>
              <w:rPr>
                <w:rFonts w:ascii="宋体" w:hAnsi="宋体" w:cs="宋体"/>
                <w:b/>
                <w:highlight w:val="none"/>
                <w:lang w:val="zh-CN"/>
              </w:rPr>
              <w:t xml:space="preserve">5.2.4若采用合理低价法或综合评分法，在投标文件第二个信封(报价文件)开标现场，招标人将按第三章“评标办法” </w:t>
            </w:r>
            <w:r>
              <w:rPr>
                <w:rFonts w:hint="eastAsia" w:ascii="宋体" w:hAnsi="宋体" w:cs="宋体"/>
                <w:b/>
                <w:highlight w:val="none"/>
                <w:lang w:val="zh-CN"/>
              </w:rPr>
              <w:t>规定的原则计算并宣布评标基准价。若招标人发现投标文件出现以下任一情况，其投标报价将不再参加评标基准价的计算</w:t>
            </w:r>
            <w:r>
              <w:rPr>
                <w:rFonts w:ascii="宋体" w:hAnsi="宋体" w:cs="宋体"/>
                <w:b/>
                <w:highlight w:val="none"/>
                <w:lang w:val="zh-CN"/>
              </w:rPr>
              <w:t>:</w:t>
            </w:r>
          </w:p>
          <w:p w14:paraId="7506432F">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w:t>
            </w:r>
            <w:r>
              <w:rPr>
                <w:rFonts w:ascii="宋体" w:hAnsi="宋体" w:cs="宋体"/>
                <w:b/>
                <w:highlight w:val="none"/>
                <w:lang w:val="zh-CN"/>
              </w:rPr>
              <w:t>1）未在投标函上填写投标总价；</w:t>
            </w:r>
          </w:p>
          <w:p w14:paraId="0C998481">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w:t>
            </w:r>
            <w:r>
              <w:rPr>
                <w:rFonts w:ascii="宋体" w:hAnsi="宋体" w:cs="宋体"/>
                <w:b/>
                <w:highlight w:val="none"/>
                <w:lang w:val="zh-CN"/>
              </w:rPr>
              <w:t>2）投标报价超出招标人公布的最高投标限价 (如有)；</w:t>
            </w:r>
          </w:p>
          <w:p w14:paraId="6FC45BC5">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w:t>
            </w:r>
            <w:r>
              <w:rPr>
                <w:rFonts w:ascii="宋体" w:hAnsi="宋体" w:cs="宋体"/>
                <w:b/>
                <w:highlight w:val="none"/>
                <w:lang w:val="zh-CN"/>
              </w:rPr>
              <w:t>3）投标报价的大写金额无法确定具体数值；</w:t>
            </w:r>
          </w:p>
          <w:p w14:paraId="263AC03E">
            <w:pPr>
              <w:widowControl/>
              <w:adjustRightInd w:val="0"/>
              <w:snapToGrid w:val="0"/>
              <w:rPr>
                <w:rFonts w:hint="eastAsia" w:ascii="宋体" w:hAnsi="宋体" w:cs="宋体"/>
                <w:b/>
                <w:highlight w:val="none"/>
                <w:lang w:val="zh-CN"/>
              </w:rPr>
            </w:pPr>
            <w:r>
              <w:rPr>
                <w:rFonts w:hint="eastAsia" w:ascii="宋体" w:hAnsi="宋体" w:cs="宋体"/>
                <w:b/>
                <w:highlight w:val="none"/>
                <w:lang w:val="zh-CN"/>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w:t>
            </w:r>
          </w:p>
          <w:p w14:paraId="0495E508">
            <w:pPr>
              <w:widowControl/>
              <w:adjustRightInd w:val="0"/>
              <w:snapToGrid w:val="0"/>
              <w:rPr>
                <w:highlight w:val="none"/>
                <w:lang w:val="zh-CN"/>
              </w:rPr>
            </w:pPr>
            <w:r>
              <w:rPr>
                <w:rFonts w:ascii="宋体" w:hAnsi="宋体" w:cs="宋体"/>
                <w:b/>
                <w:highlight w:val="none"/>
                <w:lang w:val="zh-CN"/>
              </w:rPr>
              <w:t xml:space="preserve">5.2.5 </w:t>
            </w:r>
            <w:r>
              <w:rPr>
                <w:rFonts w:hint="eastAsia" w:ascii="宋体" w:hAnsi="宋体" w:cs="宋体"/>
                <w:b/>
                <w:highlight w:val="none"/>
                <w:lang w:val="zh-CN"/>
              </w:rPr>
              <w:t>在投标文件第一个信封（商务及技术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tc>
      </w:tr>
      <w:tr w14:paraId="7C2D74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629" w:type="pct"/>
            <w:vAlign w:val="center"/>
          </w:tcPr>
          <w:p w14:paraId="240ADC8A">
            <w:pPr>
              <w:widowControl/>
              <w:adjustRightInd w:val="0"/>
              <w:snapToGrid w:val="0"/>
              <w:jc w:val="center"/>
              <w:rPr>
                <w:rFonts w:hint="eastAsia" w:ascii="宋体" w:hAnsi="宋体" w:eastAsia="宋体" w:cs="宋体"/>
                <w:kern w:val="0"/>
                <w:highlight w:val="none"/>
                <w:lang w:eastAsia="zh-CN"/>
              </w:rPr>
            </w:pPr>
            <w:r>
              <w:rPr>
                <w:rFonts w:hint="eastAsia" w:ascii="宋体" w:hAnsi="宋体" w:cs="宋体"/>
                <w:kern w:val="0"/>
                <w:highlight w:val="none"/>
              </w:rPr>
              <w:t>10.</w:t>
            </w:r>
            <w:r>
              <w:rPr>
                <w:rFonts w:hint="eastAsia" w:ascii="宋体" w:hAnsi="宋体" w:cs="宋体"/>
                <w:kern w:val="0"/>
                <w:highlight w:val="none"/>
                <w:lang w:val="en-US" w:eastAsia="zh-CN"/>
              </w:rPr>
              <w:t>2</w:t>
            </w:r>
          </w:p>
        </w:tc>
        <w:tc>
          <w:tcPr>
            <w:tcW w:w="4370" w:type="pct"/>
            <w:gridSpan w:val="2"/>
          </w:tcPr>
          <w:p w14:paraId="2E781F76">
            <w:pPr>
              <w:widowControl/>
              <w:adjustRightInd w:val="0"/>
              <w:snapToGrid w:val="0"/>
              <w:jc w:val="left"/>
              <w:rPr>
                <w:rFonts w:hint="eastAsia" w:ascii="宋体" w:hAnsi="宋体" w:cs="宋体"/>
                <w:highlight w:val="none"/>
                <w:lang w:val="zh-CN"/>
              </w:rPr>
            </w:pPr>
            <w:r>
              <w:rPr>
                <w:rFonts w:hint="eastAsia" w:ascii="宋体" w:hAnsi="宋体" w:cs="宋体"/>
                <w:highlight w:val="none"/>
                <w:lang w:val="zh-CN"/>
              </w:rPr>
              <w:t>投标和施工阶段有关主要人员变更的规定：</w:t>
            </w:r>
          </w:p>
          <w:p w14:paraId="7CAED5C7">
            <w:pPr>
              <w:widowControl/>
              <w:adjustRightInd w:val="0"/>
              <w:snapToGrid w:val="0"/>
              <w:jc w:val="left"/>
              <w:rPr>
                <w:rFonts w:hint="eastAsia" w:ascii="宋体" w:hAnsi="宋体" w:cs="宋体"/>
                <w:highlight w:val="none"/>
                <w:lang w:val="zh-CN"/>
              </w:rPr>
            </w:pPr>
            <w:r>
              <w:rPr>
                <w:rFonts w:hint="eastAsia" w:ascii="宋体" w:hAnsi="宋体" w:cs="宋体"/>
                <w:highlight w:val="none"/>
                <w:lang w:val="zh-CN"/>
              </w:rPr>
              <w:t>（1）投标阶段（投标截止时间至合同签订时间止）不得出现主要人员（项目经理）更换的情形；</w:t>
            </w:r>
          </w:p>
          <w:p w14:paraId="37B0E0D1">
            <w:pPr>
              <w:widowControl/>
              <w:adjustRightInd w:val="0"/>
              <w:snapToGrid w:val="0"/>
              <w:jc w:val="left"/>
              <w:rPr>
                <w:rFonts w:hint="eastAsia" w:ascii="宋体" w:hAnsi="宋体" w:cs="宋体"/>
                <w:bCs/>
                <w:highlight w:val="none"/>
              </w:rPr>
            </w:pPr>
            <w:r>
              <w:rPr>
                <w:rFonts w:hint="eastAsia" w:ascii="宋体" w:hAnsi="宋体" w:cs="宋体"/>
                <w:highlight w:val="none"/>
                <w:lang w:val="zh-CN"/>
              </w:rPr>
              <w:t>（2）在合同实施过程中，如出现项目负责人更换的情况，发包人将根据合同条款4.5款规定对承包单位进行考核、处罚，并根据《江苏省公路水运建设市场信用信息管理办法》的相关规定将考核结果上报交通行政主管部门。</w:t>
            </w:r>
          </w:p>
        </w:tc>
      </w:tr>
      <w:tr w14:paraId="3D914C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4" w:hRule="atLeast"/>
          <w:jc w:val="center"/>
        </w:trPr>
        <w:tc>
          <w:tcPr>
            <w:tcW w:w="629" w:type="pct"/>
            <w:vAlign w:val="center"/>
          </w:tcPr>
          <w:p w14:paraId="75BF7632">
            <w:pPr>
              <w:widowControl/>
              <w:adjustRightInd w:val="0"/>
              <w:snapToGrid w:val="0"/>
              <w:jc w:val="center"/>
              <w:rPr>
                <w:rFonts w:hint="eastAsia" w:ascii="宋体" w:hAnsi="宋体" w:eastAsia="宋体" w:cs="宋体"/>
                <w:kern w:val="0"/>
                <w:highlight w:val="none"/>
                <w:lang w:eastAsia="zh-CN"/>
              </w:rPr>
            </w:pPr>
            <w:r>
              <w:rPr>
                <w:rFonts w:hint="eastAsia" w:ascii="宋体" w:hAnsi="宋体" w:cs="宋体"/>
                <w:kern w:val="0"/>
                <w:highlight w:val="none"/>
              </w:rPr>
              <w:t>10.</w:t>
            </w:r>
            <w:r>
              <w:rPr>
                <w:rFonts w:hint="eastAsia" w:ascii="宋体" w:hAnsi="宋体" w:cs="宋体"/>
                <w:kern w:val="0"/>
                <w:highlight w:val="none"/>
                <w:lang w:val="en-US" w:eastAsia="zh-CN"/>
              </w:rPr>
              <w:t>3</w:t>
            </w:r>
          </w:p>
        </w:tc>
        <w:tc>
          <w:tcPr>
            <w:tcW w:w="4370" w:type="pct"/>
            <w:gridSpan w:val="2"/>
          </w:tcPr>
          <w:p w14:paraId="4C9948C6">
            <w:pPr>
              <w:widowControl/>
              <w:adjustRightInd w:val="0"/>
              <w:snapToGrid w:val="0"/>
              <w:jc w:val="left"/>
              <w:rPr>
                <w:rFonts w:hint="eastAsia" w:ascii="宋体" w:hAnsi="宋体" w:cs="宋体"/>
                <w:highlight w:val="none"/>
                <w:lang w:val="zh-CN"/>
              </w:rPr>
            </w:pPr>
            <w:r>
              <w:rPr>
                <w:rFonts w:hint="eastAsia" w:ascii="宋体" w:hAnsi="宋体" w:cs="宋体"/>
                <w:highlight w:val="none"/>
                <w:lang w:val="zh-CN"/>
              </w:rPr>
              <w:t>本项目工程量清单所列工程量为发包人测算提供，供投标人报价使用，投标人在报价前应进行必要的测量、计算，若实际数量与招标清单有差别，投标人在报价时应予充分考虑（注意：招标人提供的招标清单数量、格式、公式等投标人均不得修改，若实际与招标清单有差别，投标人报价时应将偏差包含在其它相关细目单价或总额价）。除非招标人另有通知，承包人所报的合同</w:t>
            </w:r>
            <w:r>
              <w:rPr>
                <w:rFonts w:hint="eastAsia" w:ascii="宋体" w:hAnsi="宋体" w:cs="宋体"/>
                <w:highlight w:val="none"/>
              </w:rPr>
              <w:t>单</w:t>
            </w:r>
            <w:r>
              <w:rPr>
                <w:rFonts w:hint="eastAsia" w:ascii="宋体" w:hAnsi="宋体" w:cs="宋体"/>
                <w:highlight w:val="none"/>
                <w:lang w:val="zh-CN"/>
              </w:rPr>
              <w:t>价在合同实施期间不予调整。工程量清单中所列工程量的任何错误、遗漏和变动，丝毫不会降低或影响合同条款的效力，也不免除承包人按规定的义务和其应按图纸、规范履行合同的责任。</w:t>
            </w:r>
          </w:p>
          <w:p w14:paraId="221D4111">
            <w:pPr>
              <w:widowControl/>
              <w:adjustRightInd w:val="0"/>
              <w:snapToGrid w:val="0"/>
              <w:jc w:val="left"/>
              <w:rPr>
                <w:rFonts w:hint="eastAsia" w:ascii="宋体" w:hAnsi="宋体" w:cs="宋体"/>
                <w:highlight w:val="none"/>
                <w:lang w:val="zh-CN"/>
              </w:rPr>
            </w:pPr>
            <w:r>
              <w:rPr>
                <w:rFonts w:hint="eastAsia" w:ascii="宋体" w:hAnsi="宋体" w:cs="宋体"/>
                <w:highlight w:val="none"/>
                <w:lang w:val="zh-CN"/>
              </w:rPr>
              <w:t>除非合同另有规定，工程量清单中有标价的单价和总额价均已包括了实施和完成招标文件所规定的招标范围内施工图设计的全部工程以及临时工程的实施、完成和保修所需的人工费、材料费、机械设备费、各种措施费、劳务费、管理费、协调费、维护费、利润、规费、税金、保险以及合同明示或暗示的所有一切风险、责任和义务的全部费用。</w:t>
            </w:r>
          </w:p>
          <w:p w14:paraId="72760D72">
            <w:pPr>
              <w:widowControl/>
              <w:adjustRightInd w:val="0"/>
              <w:snapToGrid w:val="0"/>
              <w:jc w:val="left"/>
              <w:rPr>
                <w:rFonts w:hint="eastAsia" w:ascii="宋体" w:hAnsi="宋体" w:cs="宋体"/>
                <w:highlight w:val="none"/>
                <w:lang w:val="zh-CN"/>
              </w:rPr>
            </w:pPr>
            <w:r>
              <w:rPr>
                <w:rFonts w:hint="eastAsia" w:ascii="宋体" w:hAnsi="宋体" w:cs="宋体"/>
                <w:highlight w:val="none"/>
                <w:lang w:val="zh-CN"/>
              </w:rPr>
              <w:t>投标人应认真填写工程量清单中所列工程细目的单价、合价和总额价。</w:t>
            </w:r>
          </w:p>
          <w:p w14:paraId="0C1AC090">
            <w:pPr>
              <w:widowControl/>
              <w:adjustRightInd w:val="0"/>
              <w:snapToGrid w:val="0"/>
              <w:jc w:val="left"/>
              <w:rPr>
                <w:rFonts w:hint="eastAsia" w:ascii="宋体" w:hAnsi="宋体" w:cs="宋体"/>
                <w:highlight w:val="none"/>
                <w:lang w:val="zh-CN"/>
              </w:rPr>
            </w:pPr>
            <w:r>
              <w:rPr>
                <w:rFonts w:hint="eastAsia" w:ascii="宋体" w:hAnsi="宋体" w:cs="宋体"/>
                <w:highlight w:val="none"/>
                <w:lang w:val="zh-CN"/>
              </w:rPr>
              <w:t>工程量清单中投标人没有填入单价或价格的子目，其费用视为已分摊在工程量清单中其他相关子目的单价或价格之中，发包人将不予支付。承包人仍应按照监理人指令完成工程量中未填入单价或总额价的子目，但不能得到结算与支付。</w:t>
            </w:r>
          </w:p>
          <w:p w14:paraId="36354661">
            <w:pPr>
              <w:widowControl/>
              <w:adjustRightInd w:val="0"/>
              <w:snapToGrid w:val="0"/>
              <w:jc w:val="left"/>
              <w:rPr>
                <w:rFonts w:hint="eastAsia" w:ascii="宋体" w:hAnsi="宋体" w:cs="宋体"/>
                <w:highlight w:val="none"/>
                <w:lang w:val="zh-CN"/>
              </w:rPr>
            </w:pPr>
            <w:r>
              <w:rPr>
                <w:rFonts w:hint="eastAsia" w:ascii="宋体" w:hAnsi="宋体" w:cs="宋体"/>
                <w:highlight w:val="none"/>
                <w:lang w:val="zh-CN"/>
              </w:rPr>
              <w:t>符合合同条款规定的全部费用应认为已被计入有标价的工程量清单所列各子目之中，未列子目不予计量的工作，其费用应视为分摊在相应合同工程的有关子目的单价或总额价中。</w:t>
            </w:r>
          </w:p>
          <w:p w14:paraId="1364AD4F">
            <w:pPr>
              <w:widowControl/>
              <w:jc w:val="left"/>
              <w:rPr>
                <w:rFonts w:hint="eastAsia" w:ascii="宋体" w:hAnsi="宋体" w:cs="宋体"/>
                <w:highlight w:val="none"/>
              </w:rPr>
            </w:pPr>
            <w:r>
              <w:rPr>
                <w:rFonts w:hint="eastAsia" w:ascii="宋体" w:hAnsi="宋体" w:cs="宋体"/>
                <w:highlight w:val="none"/>
                <w:lang w:val="zh-CN"/>
              </w:rPr>
              <w:t>本次招标采用工程量固化清单，投标人编制报价工程量清单时，只需按照设定的格式填入单价（招标人指定单价项目，投标人不得修改），投标人不得对招标人给定的工程量清单进行修改（包括细目名称、细目号、工程数量及指定单价项目的单价、运算定义等），若投标人擅自修改工程量清单或者投标人的报价发生了算术性修正，属重大偏差，投标文件按否决投标处理。</w:t>
            </w:r>
          </w:p>
        </w:tc>
      </w:tr>
      <w:tr w14:paraId="419468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43647A0A">
            <w:pPr>
              <w:widowControl/>
              <w:adjustRightInd w:val="0"/>
              <w:snapToGrid w:val="0"/>
              <w:jc w:val="center"/>
              <w:rPr>
                <w:rFonts w:hint="eastAsia" w:ascii="宋体" w:hAnsi="宋体" w:eastAsia="宋体" w:cs="宋体"/>
                <w:b/>
                <w:bCs/>
                <w:highlight w:val="none"/>
                <w:lang w:eastAsia="zh-CN"/>
              </w:rPr>
            </w:pPr>
            <w:r>
              <w:rPr>
                <w:rFonts w:hint="eastAsia" w:ascii="宋体" w:hAnsi="宋体" w:cs="宋体"/>
                <w:kern w:val="0"/>
                <w:highlight w:val="none"/>
              </w:rPr>
              <w:t>10.</w:t>
            </w:r>
            <w:r>
              <w:rPr>
                <w:rFonts w:hint="eastAsia" w:ascii="宋体" w:hAnsi="宋体" w:cs="宋体"/>
                <w:kern w:val="0"/>
                <w:highlight w:val="none"/>
                <w:lang w:val="en-US" w:eastAsia="zh-CN"/>
              </w:rPr>
              <w:t>5</w:t>
            </w:r>
          </w:p>
        </w:tc>
        <w:tc>
          <w:tcPr>
            <w:tcW w:w="4370" w:type="pct"/>
            <w:gridSpan w:val="2"/>
          </w:tcPr>
          <w:p w14:paraId="0028F71B">
            <w:pPr>
              <w:widowControl/>
              <w:adjustRightInd w:val="0"/>
              <w:snapToGrid w:val="0"/>
              <w:rPr>
                <w:rFonts w:hint="eastAsia" w:ascii="宋体" w:hAnsi="宋体" w:cs="宋体"/>
                <w:b/>
                <w:bCs/>
                <w:highlight w:val="none"/>
              </w:rPr>
            </w:pPr>
            <w:r>
              <w:rPr>
                <w:rFonts w:hint="eastAsia"/>
                <w:b/>
                <w:bCs/>
                <w:highlight w:val="none"/>
              </w:rPr>
              <w:t>投标人编制投标文件时注意：投标文件中涉及工期内容请按招标公告要求内容填写或填写“满足招标公告要求”，如有备注“日历天”处无须折算成“日历天”。</w:t>
            </w:r>
          </w:p>
        </w:tc>
      </w:tr>
      <w:tr w14:paraId="750CF7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24498083">
            <w:pPr>
              <w:widowControl/>
              <w:adjustRightInd w:val="0"/>
              <w:snapToGrid w:val="0"/>
              <w:jc w:val="center"/>
              <w:rPr>
                <w:rFonts w:hint="eastAsia" w:ascii="宋体" w:hAnsi="宋体" w:eastAsia="宋体" w:cs="宋体"/>
                <w:kern w:val="0"/>
                <w:highlight w:val="none"/>
                <w:lang w:eastAsia="zh-CN"/>
              </w:rPr>
            </w:pPr>
            <w:r>
              <w:rPr>
                <w:rFonts w:hint="eastAsia" w:ascii="宋体" w:hAnsi="宋体" w:cs="宋体"/>
                <w:kern w:val="0"/>
                <w:highlight w:val="none"/>
              </w:rPr>
              <w:t>10.</w:t>
            </w:r>
            <w:r>
              <w:rPr>
                <w:rFonts w:hint="eastAsia" w:ascii="宋体" w:hAnsi="宋体" w:cs="宋体"/>
                <w:kern w:val="0"/>
                <w:highlight w:val="none"/>
                <w:lang w:val="en-US" w:eastAsia="zh-CN"/>
              </w:rPr>
              <w:t>6</w:t>
            </w:r>
          </w:p>
        </w:tc>
        <w:tc>
          <w:tcPr>
            <w:tcW w:w="4370" w:type="pct"/>
            <w:gridSpan w:val="2"/>
          </w:tcPr>
          <w:p w14:paraId="3972DB42">
            <w:pPr>
              <w:widowControl/>
              <w:adjustRightInd w:val="0"/>
              <w:snapToGrid w:val="0"/>
              <w:rPr>
                <w:rFonts w:hint="eastAsia"/>
                <w:b/>
                <w:bCs/>
                <w:highlight w:val="none"/>
              </w:rPr>
            </w:pPr>
            <w:r>
              <w:rPr>
                <w:rFonts w:hint="eastAsia"/>
                <w:b/>
                <w:bCs/>
                <w:highlight w:val="none"/>
              </w:rPr>
              <w:t>投标人在最近一期公路水路建设市场从业单位信用评定结果中的信用等级分数，有江苏省信用评价结果的，以江苏省信用评价结果为准；无江苏省信用评价结果的，其信用等级按照以下原则确定：①资质由国务院有关部门许可的从业单位，其信用等级按照国务院交通运输主管部门公布的全国综合评价结果确定；②无全国综合评价结果的从业单位，其信用等级参照注册地省交通运输主管部门综合评价结果确定：综合评价结果为AA级的，按照A级（信用分94.5分）确定；综合评价结果为 A级的，按照A级（信用分不高于90分）确定；注册地省级综合评价结果为B级及以下的，按照其信用等级确定；③其他从业单位，其信用等级按照暂定A级确定（信用分为85分）；④存在《江苏省公路水运建设市场信用信息管理办法》的通知 苏交规〔2024〕6号文件第十四条规定的不良行为的，按照规定确定其信用等级；信用类别：施工）；信用类别：施工；以截止递交投标文件当日查询信息为准。</w:t>
            </w:r>
          </w:p>
          <w:p w14:paraId="700EB5E6">
            <w:pPr>
              <w:widowControl/>
              <w:adjustRightInd w:val="0"/>
              <w:snapToGrid w:val="0"/>
              <w:rPr>
                <w:b/>
                <w:bCs/>
                <w:highlight w:val="none"/>
              </w:rPr>
            </w:pPr>
            <w:r>
              <w:rPr>
                <w:rFonts w:hint="eastAsia"/>
                <w:b/>
                <w:bCs/>
                <w:highlight w:val="none"/>
              </w:rPr>
              <w:t>适用于本项目招标投标过程各阶段（环节）。</w:t>
            </w:r>
          </w:p>
        </w:tc>
      </w:tr>
      <w:bookmarkEnd w:id="29"/>
    </w:tbl>
    <w:p w14:paraId="3D0ABA9A">
      <w:pPr>
        <w:tabs>
          <w:tab w:val="left" w:pos="3120"/>
        </w:tabs>
        <w:spacing w:line="360" w:lineRule="auto"/>
        <w:ind w:left="2073" w:right="1858"/>
        <w:jc w:val="center"/>
        <w:rPr>
          <w:rFonts w:hint="eastAsia" w:ascii="宋体" w:hAnsi="宋体" w:cs="宋体"/>
          <w:spacing w:val="1"/>
          <w:sz w:val="28"/>
          <w:szCs w:val="28"/>
          <w:highlight w:val="none"/>
        </w:rPr>
      </w:pPr>
    </w:p>
    <w:p w14:paraId="644197A2">
      <w:pPr>
        <w:widowControl/>
        <w:jc w:val="left"/>
        <w:rPr>
          <w:rFonts w:hint="eastAsia" w:ascii="宋体" w:hAnsi="宋体" w:cs="宋体"/>
          <w:spacing w:val="1"/>
          <w:sz w:val="24"/>
          <w:szCs w:val="24"/>
          <w:highlight w:val="none"/>
        </w:rPr>
      </w:pPr>
      <w:r>
        <w:rPr>
          <w:rFonts w:ascii="宋体" w:hAnsi="宋体" w:cs="宋体"/>
          <w:spacing w:val="1"/>
          <w:sz w:val="24"/>
          <w:szCs w:val="24"/>
          <w:highlight w:val="none"/>
        </w:rPr>
        <w:br w:type="page"/>
      </w:r>
    </w:p>
    <w:p w14:paraId="2D177CAB">
      <w:pPr>
        <w:tabs>
          <w:tab w:val="left" w:pos="3120"/>
        </w:tabs>
        <w:spacing w:line="360" w:lineRule="auto"/>
        <w:ind w:left="2073" w:right="1858"/>
        <w:jc w:val="center"/>
        <w:rPr>
          <w:rFonts w:hint="eastAsia" w:ascii="宋体" w:hAnsi="宋体" w:cs="宋体"/>
          <w:sz w:val="24"/>
          <w:szCs w:val="24"/>
          <w:highlight w:val="none"/>
        </w:rPr>
      </w:pPr>
      <w:r>
        <w:rPr>
          <w:rFonts w:hint="eastAsia" w:ascii="宋体" w:hAnsi="宋体" w:cs="宋体"/>
          <w:spacing w:val="1"/>
          <w:sz w:val="24"/>
          <w:szCs w:val="24"/>
          <w:highlight w:val="none"/>
        </w:rPr>
        <w:t>附</w:t>
      </w:r>
      <w:r>
        <w:rPr>
          <w:rFonts w:hint="eastAsia" w:ascii="宋体" w:hAnsi="宋体" w:cs="宋体"/>
          <w:sz w:val="24"/>
          <w:szCs w:val="24"/>
          <w:highlight w:val="none"/>
        </w:rPr>
        <w:t>录1</w:t>
      </w:r>
      <w:r>
        <w:rPr>
          <w:rFonts w:hint="eastAsia" w:ascii="宋体" w:hAnsi="宋体" w:cs="宋体"/>
          <w:sz w:val="24"/>
          <w:szCs w:val="24"/>
          <w:highlight w:val="none"/>
        </w:rPr>
        <w:tab/>
      </w:r>
      <w:r>
        <w:rPr>
          <w:rFonts w:hint="eastAsia" w:ascii="宋体" w:hAnsi="宋体" w:cs="宋体"/>
          <w:spacing w:val="1"/>
          <w:w w:val="105"/>
          <w:position w:val="-3"/>
          <w:sz w:val="24"/>
          <w:szCs w:val="24"/>
          <w:highlight w:val="none"/>
        </w:rPr>
        <w:t>资格审查条件(资质最低条件)</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3F58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46F80F0A">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position w:val="-4"/>
                <w:sz w:val="24"/>
                <w:szCs w:val="24"/>
                <w:highlight w:val="none"/>
              </w:rPr>
              <w:t>施工企业资质等级要求</w:t>
            </w:r>
          </w:p>
        </w:tc>
      </w:tr>
      <w:tr w14:paraId="4B58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1986AC7C">
            <w:pPr>
              <w:wordWrap w:val="0"/>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详见招标公告</w:t>
            </w:r>
          </w:p>
        </w:tc>
      </w:tr>
    </w:tbl>
    <w:p w14:paraId="789AB55A">
      <w:pPr>
        <w:tabs>
          <w:tab w:val="left" w:pos="3120"/>
        </w:tabs>
        <w:spacing w:line="360" w:lineRule="auto"/>
        <w:ind w:right="2018"/>
        <w:rPr>
          <w:rFonts w:hint="eastAsia" w:ascii="宋体" w:hAnsi="宋体" w:cs="宋体"/>
          <w:spacing w:val="1"/>
          <w:sz w:val="24"/>
          <w:szCs w:val="24"/>
          <w:highlight w:val="none"/>
        </w:rPr>
      </w:pPr>
    </w:p>
    <w:p w14:paraId="5683C9B0">
      <w:pPr>
        <w:tabs>
          <w:tab w:val="left" w:pos="3120"/>
        </w:tabs>
        <w:spacing w:line="360" w:lineRule="auto"/>
        <w:ind w:left="2073" w:right="2018"/>
        <w:jc w:val="center"/>
        <w:rPr>
          <w:rFonts w:hint="eastAsia" w:ascii="宋体" w:hAnsi="宋体" w:cs="宋体"/>
          <w:sz w:val="24"/>
          <w:szCs w:val="24"/>
          <w:highlight w:val="none"/>
        </w:rPr>
      </w:pPr>
      <w:r>
        <w:rPr>
          <w:rFonts w:hint="eastAsia" w:ascii="宋体" w:hAnsi="宋体" w:cs="宋体"/>
          <w:spacing w:val="1"/>
          <w:sz w:val="24"/>
          <w:szCs w:val="24"/>
          <w:highlight w:val="none"/>
        </w:rPr>
        <w:t>附</w:t>
      </w:r>
      <w:r>
        <w:rPr>
          <w:rFonts w:hint="eastAsia" w:ascii="宋体" w:hAnsi="宋体" w:cs="宋体"/>
          <w:sz w:val="24"/>
          <w:szCs w:val="24"/>
          <w:highlight w:val="none"/>
        </w:rPr>
        <w:t>录2</w:t>
      </w:r>
      <w:r>
        <w:rPr>
          <w:rFonts w:hint="eastAsia" w:ascii="宋体" w:hAnsi="宋体" w:cs="宋体"/>
          <w:sz w:val="24"/>
          <w:szCs w:val="24"/>
          <w:highlight w:val="none"/>
        </w:rPr>
        <w:tab/>
      </w:r>
      <w:r>
        <w:rPr>
          <w:rFonts w:hint="eastAsia" w:ascii="宋体" w:hAnsi="宋体" w:cs="宋体"/>
          <w:spacing w:val="1"/>
          <w:w w:val="105"/>
          <w:position w:val="-3"/>
          <w:sz w:val="24"/>
          <w:szCs w:val="24"/>
          <w:highlight w:val="none"/>
        </w:rPr>
        <w:t>资格审查条件(财务最低要求)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4ACB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755C5851">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position w:val="-4"/>
                <w:sz w:val="24"/>
                <w:szCs w:val="24"/>
                <w:highlight w:val="none"/>
              </w:rPr>
              <w:t>财务要求</w:t>
            </w:r>
          </w:p>
        </w:tc>
      </w:tr>
      <w:tr w14:paraId="653C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72F2C078">
            <w:pPr>
              <w:wordWrap w:val="0"/>
              <w:spacing w:line="360" w:lineRule="auto"/>
              <w:rPr>
                <w:rFonts w:hint="eastAsia" w:asciiTheme="minorEastAsia" w:hAnsiTheme="minorEastAsia" w:cstheme="minorEastAsia"/>
                <w:sz w:val="24"/>
                <w:szCs w:val="24"/>
                <w:highlight w:val="none"/>
              </w:rPr>
            </w:pPr>
            <w:r>
              <w:rPr>
                <w:rFonts w:hint="eastAsia" w:ascii="宋体" w:hAnsi="宋体"/>
                <w:highlight w:val="none"/>
              </w:rPr>
              <w:t>/</w:t>
            </w:r>
          </w:p>
        </w:tc>
      </w:tr>
    </w:tbl>
    <w:p w14:paraId="17D20534">
      <w:pPr>
        <w:spacing w:line="360" w:lineRule="auto"/>
        <w:ind w:left="2143" w:right="1947"/>
        <w:jc w:val="center"/>
        <w:rPr>
          <w:rFonts w:hint="eastAsia" w:ascii="宋体" w:hAnsi="宋体" w:cs="宋体"/>
          <w:spacing w:val="1"/>
          <w:sz w:val="24"/>
          <w:szCs w:val="24"/>
          <w:highlight w:val="none"/>
        </w:rPr>
      </w:pPr>
    </w:p>
    <w:p w14:paraId="2307C2B6">
      <w:pPr>
        <w:spacing w:line="360" w:lineRule="auto"/>
        <w:ind w:left="2143" w:right="1947"/>
        <w:jc w:val="center"/>
        <w:rPr>
          <w:rFonts w:hint="eastAsia" w:ascii="宋体" w:hAnsi="宋体" w:cs="宋体"/>
          <w:sz w:val="24"/>
          <w:szCs w:val="24"/>
          <w:highlight w:val="none"/>
        </w:rPr>
      </w:pPr>
      <w:r>
        <w:rPr>
          <w:rFonts w:hint="eastAsia" w:ascii="宋体" w:hAnsi="宋体" w:cs="宋体"/>
          <w:spacing w:val="1"/>
          <w:sz w:val="24"/>
          <w:szCs w:val="24"/>
          <w:highlight w:val="none"/>
        </w:rPr>
        <w:t>附</w:t>
      </w:r>
      <w:r>
        <w:rPr>
          <w:rFonts w:hint="eastAsia" w:ascii="宋体" w:hAnsi="宋体" w:cs="宋体"/>
          <w:sz w:val="24"/>
          <w:szCs w:val="24"/>
          <w:highlight w:val="none"/>
        </w:rPr>
        <w:t>录3</w:t>
      </w:r>
      <w:r>
        <w:rPr>
          <w:rFonts w:hint="eastAsia" w:ascii="宋体" w:hAnsi="宋体" w:cs="宋体"/>
          <w:spacing w:val="1"/>
          <w:w w:val="105"/>
          <w:position w:val="-3"/>
          <w:sz w:val="24"/>
          <w:szCs w:val="24"/>
          <w:highlight w:val="none"/>
        </w:rPr>
        <w:t>资格审查条件(业绩最低要求)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0AAE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76" w:type="dxa"/>
            <w:vAlign w:val="center"/>
          </w:tcPr>
          <w:p w14:paraId="7FA50274">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position w:val="-4"/>
                <w:sz w:val="24"/>
                <w:szCs w:val="24"/>
                <w:highlight w:val="none"/>
              </w:rPr>
              <w:t>业绩要求</w:t>
            </w:r>
          </w:p>
        </w:tc>
      </w:tr>
      <w:tr w14:paraId="1F36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5E8EEDC0">
            <w:pPr>
              <w:wordWrap w:val="0"/>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详见招标公告</w:t>
            </w:r>
          </w:p>
        </w:tc>
      </w:tr>
    </w:tbl>
    <w:p w14:paraId="047C7B07">
      <w:pPr>
        <w:spacing w:before="2" w:line="360" w:lineRule="auto"/>
        <w:rPr>
          <w:rFonts w:hint="eastAsia" w:ascii="宋体" w:hAnsi="宋体" w:cs="宋体"/>
          <w:sz w:val="24"/>
          <w:szCs w:val="24"/>
          <w:highlight w:val="none"/>
        </w:rPr>
      </w:pPr>
    </w:p>
    <w:p w14:paraId="6C096CD6">
      <w:pPr>
        <w:tabs>
          <w:tab w:val="left" w:pos="3120"/>
        </w:tabs>
        <w:spacing w:line="360" w:lineRule="auto"/>
        <w:ind w:left="2073" w:right="2018"/>
        <w:jc w:val="center"/>
        <w:rPr>
          <w:rFonts w:hint="eastAsia" w:ascii="宋体" w:hAnsi="宋体" w:cs="宋体"/>
          <w:sz w:val="24"/>
          <w:szCs w:val="24"/>
          <w:highlight w:val="none"/>
        </w:rPr>
      </w:pPr>
      <w:r>
        <w:rPr>
          <w:rFonts w:hint="eastAsia" w:ascii="宋体" w:hAnsi="宋体" w:cs="宋体"/>
          <w:spacing w:val="1"/>
          <w:sz w:val="24"/>
          <w:szCs w:val="24"/>
          <w:highlight w:val="none"/>
        </w:rPr>
        <w:t>附</w:t>
      </w:r>
      <w:r>
        <w:rPr>
          <w:rFonts w:hint="eastAsia" w:ascii="宋体" w:hAnsi="宋体" w:cs="宋体"/>
          <w:sz w:val="24"/>
          <w:szCs w:val="24"/>
          <w:highlight w:val="none"/>
        </w:rPr>
        <w:t>录4</w:t>
      </w:r>
      <w:r>
        <w:rPr>
          <w:rFonts w:hint="eastAsia" w:ascii="宋体" w:hAnsi="宋体" w:cs="宋体"/>
          <w:sz w:val="24"/>
          <w:szCs w:val="24"/>
          <w:highlight w:val="none"/>
        </w:rPr>
        <w:tab/>
      </w:r>
      <w:r>
        <w:rPr>
          <w:rFonts w:hint="eastAsia" w:ascii="宋体" w:hAnsi="宋体" w:cs="宋体"/>
          <w:spacing w:val="1"/>
          <w:w w:val="105"/>
          <w:position w:val="-3"/>
          <w:sz w:val="24"/>
          <w:szCs w:val="24"/>
          <w:highlight w:val="none"/>
        </w:rPr>
        <w:t>资格审查条件(信誉最低要求)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2A0D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33421E40">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position w:val="-4"/>
                <w:sz w:val="24"/>
                <w:szCs w:val="24"/>
                <w:highlight w:val="none"/>
              </w:rPr>
              <w:t>信誉要求</w:t>
            </w:r>
          </w:p>
        </w:tc>
      </w:tr>
      <w:tr w14:paraId="5E40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507213DA">
            <w:pPr>
              <w:wordWrap w:val="0"/>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详见招标公告</w:t>
            </w:r>
          </w:p>
        </w:tc>
      </w:tr>
    </w:tbl>
    <w:p w14:paraId="11CB6D0F">
      <w:pPr>
        <w:spacing w:line="360" w:lineRule="auto"/>
        <w:rPr>
          <w:rFonts w:hint="eastAsia" w:ascii="宋体" w:hAnsi="宋体" w:cs="宋体"/>
          <w:sz w:val="24"/>
          <w:szCs w:val="24"/>
          <w:highlight w:val="none"/>
        </w:rPr>
      </w:pPr>
    </w:p>
    <w:p w14:paraId="1FA7EA07">
      <w:pPr>
        <w:tabs>
          <w:tab w:val="left" w:pos="2260"/>
        </w:tabs>
        <w:spacing w:line="360" w:lineRule="auto"/>
        <w:ind w:left="1210" w:right="-20"/>
        <w:rPr>
          <w:rFonts w:hint="eastAsia" w:ascii="宋体" w:hAnsi="宋体" w:cs="宋体"/>
          <w:sz w:val="24"/>
          <w:szCs w:val="24"/>
          <w:highlight w:val="none"/>
        </w:rPr>
      </w:pPr>
      <w:r>
        <w:rPr>
          <w:rFonts w:hint="eastAsia" w:ascii="宋体" w:hAnsi="宋体" w:cs="宋体"/>
          <w:spacing w:val="1"/>
          <w:position w:val="-3"/>
          <w:sz w:val="24"/>
          <w:szCs w:val="24"/>
          <w:highlight w:val="none"/>
        </w:rPr>
        <w:t>附</w:t>
      </w:r>
      <w:r>
        <w:rPr>
          <w:rFonts w:hint="eastAsia" w:ascii="宋体" w:hAnsi="宋体" w:cs="宋体"/>
          <w:position w:val="-3"/>
          <w:sz w:val="24"/>
          <w:szCs w:val="24"/>
          <w:highlight w:val="none"/>
        </w:rPr>
        <w:t>录5</w:t>
      </w:r>
      <w:r>
        <w:rPr>
          <w:rFonts w:hint="eastAsia" w:ascii="宋体" w:hAnsi="宋体" w:cs="宋体"/>
          <w:position w:val="-3"/>
          <w:sz w:val="24"/>
          <w:szCs w:val="24"/>
          <w:highlight w:val="none"/>
        </w:rPr>
        <w:tab/>
      </w:r>
      <w:r>
        <w:rPr>
          <w:rFonts w:hint="eastAsia" w:ascii="宋体" w:hAnsi="宋体" w:cs="宋体"/>
          <w:spacing w:val="1"/>
          <w:w w:val="105"/>
          <w:position w:val="-3"/>
          <w:sz w:val="24"/>
          <w:szCs w:val="24"/>
          <w:highlight w:val="none"/>
        </w:rPr>
        <w:t>资格审查条件(项目经理和项目总工最低要求)</w:t>
      </w:r>
    </w:p>
    <w:tbl>
      <w:tblPr>
        <w:tblStyle w:val="53"/>
        <w:tblW w:w="930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158"/>
        <w:gridCol w:w="3159"/>
        <w:gridCol w:w="2983"/>
      </w:tblGrid>
      <w:tr w14:paraId="5557FD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tcPr>
          <w:p w14:paraId="3AEA5BE9">
            <w:pPr>
              <w:spacing w:line="360" w:lineRule="auto"/>
              <w:ind w:firstLine="1320" w:firstLineChars="550"/>
              <w:rPr>
                <w:rFonts w:hint="eastAsia" w:ascii="宋体" w:hAnsi="宋体" w:cs="宋体"/>
                <w:sz w:val="24"/>
                <w:szCs w:val="24"/>
                <w:highlight w:val="none"/>
              </w:rPr>
            </w:pPr>
            <w:r>
              <w:rPr>
                <w:rFonts w:hint="eastAsia" w:ascii="宋体" w:hAnsi="宋体" w:cs="宋体"/>
                <w:sz w:val="24"/>
                <w:szCs w:val="24"/>
                <w:highlight w:val="none"/>
              </w:rPr>
              <w:t>人 员</w:t>
            </w:r>
          </w:p>
        </w:tc>
        <w:tc>
          <w:tcPr>
            <w:tcW w:w="3159" w:type="dxa"/>
          </w:tcPr>
          <w:p w14:paraId="353F6B98">
            <w:pPr>
              <w:spacing w:line="360" w:lineRule="auto"/>
              <w:ind w:firstLine="1080" w:firstLineChars="450"/>
              <w:rPr>
                <w:rFonts w:hint="eastAsia" w:ascii="宋体" w:hAnsi="宋体" w:cs="宋体"/>
                <w:sz w:val="24"/>
                <w:szCs w:val="24"/>
                <w:highlight w:val="none"/>
              </w:rPr>
            </w:pPr>
            <w:r>
              <w:rPr>
                <w:rFonts w:hint="eastAsia" w:ascii="宋体" w:hAnsi="宋体" w:cs="宋体"/>
                <w:sz w:val="24"/>
                <w:szCs w:val="24"/>
                <w:highlight w:val="none"/>
              </w:rPr>
              <w:t>数 量</w:t>
            </w:r>
          </w:p>
        </w:tc>
        <w:tc>
          <w:tcPr>
            <w:tcW w:w="2983" w:type="dxa"/>
          </w:tcPr>
          <w:p w14:paraId="4216BC99">
            <w:pPr>
              <w:spacing w:line="360" w:lineRule="auto"/>
              <w:ind w:firstLine="960" w:firstLineChars="400"/>
              <w:rPr>
                <w:rFonts w:hint="eastAsia" w:ascii="宋体" w:hAnsi="宋体" w:cs="宋体"/>
                <w:sz w:val="24"/>
                <w:szCs w:val="24"/>
                <w:highlight w:val="none"/>
              </w:rPr>
            </w:pPr>
            <w:r>
              <w:rPr>
                <w:rFonts w:hint="eastAsia" w:ascii="宋体" w:hAnsi="宋体" w:cs="宋体"/>
                <w:sz w:val="24"/>
                <w:szCs w:val="24"/>
                <w:highlight w:val="none"/>
              </w:rPr>
              <w:t>资格要求</w:t>
            </w:r>
          </w:p>
        </w:tc>
      </w:tr>
      <w:tr w14:paraId="582A77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vAlign w:val="center"/>
          </w:tcPr>
          <w:p w14:paraId="2125D5A5">
            <w:pPr>
              <w:spacing w:line="360" w:lineRule="auto"/>
              <w:ind w:firstLine="1080" w:firstLineChars="450"/>
              <w:rPr>
                <w:rFonts w:hint="eastAsia" w:ascii="宋体" w:hAnsi="宋体" w:cs="宋体"/>
                <w:sz w:val="24"/>
                <w:szCs w:val="24"/>
                <w:highlight w:val="none"/>
              </w:rPr>
            </w:pPr>
            <w:r>
              <w:rPr>
                <w:rFonts w:hint="eastAsia" w:ascii="宋体" w:hAnsi="宋体" w:cs="宋体"/>
                <w:sz w:val="24"/>
                <w:szCs w:val="24"/>
                <w:highlight w:val="none"/>
              </w:rPr>
              <w:t>项目经理</w:t>
            </w:r>
          </w:p>
        </w:tc>
        <w:tc>
          <w:tcPr>
            <w:tcW w:w="3159" w:type="dxa"/>
            <w:vAlign w:val="center"/>
          </w:tcPr>
          <w:p w14:paraId="7502867B">
            <w:pPr>
              <w:widowControl/>
              <w:adjustRightInd w:val="0"/>
              <w:snapToGrid w:val="0"/>
              <w:jc w:val="center"/>
              <w:rPr>
                <w:rFonts w:hint="eastAsia" w:ascii="宋体" w:hAnsi="宋体"/>
                <w:highlight w:val="none"/>
                <w:lang w:val="zh-CN"/>
              </w:rPr>
            </w:pPr>
            <w:r>
              <w:rPr>
                <w:rFonts w:ascii="宋体" w:hAnsi="宋体"/>
                <w:highlight w:val="none"/>
                <w:lang w:val="zh-CN"/>
              </w:rPr>
              <w:t>1</w:t>
            </w:r>
          </w:p>
        </w:tc>
        <w:tc>
          <w:tcPr>
            <w:tcW w:w="2983" w:type="dxa"/>
            <w:vAlign w:val="center"/>
          </w:tcPr>
          <w:p w14:paraId="00D83F97">
            <w:pPr>
              <w:widowControl/>
              <w:adjustRightInd w:val="0"/>
              <w:snapToGrid w:val="0"/>
              <w:jc w:val="center"/>
              <w:rPr>
                <w:rFonts w:hint="eastAsia" w:ascii="宋体" w:hAnsi="宋体"/>
                <w:highlight w:val="none"/>
                <w:lang w:val="zh-CN"/>
              </w:rPr>
            </w:pPr>
            <w:r>
              <w:rPr>
                <w:rFonts w:ascii="宋体" w:hAnsi="宋体"/>
                <w:highlight w:val="none"/>
                <w:lang w:val="zh-CN"/>
              </w:rPr>
              <w:t>详见招标公告</w:t>
            </w:r>
          </w:p>
        </w:tc>
      </w:tr>
      <w:tr w14:paraId="07F0CA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vAlign w:val="center"/>
          </w:tcPr>
          <w:p w14:paraId="69C70764">
            <w:pPr>
              <w:spacing w:line="360" w:lineRule="auto"/>
              <w:ind w:firstLine="1080" w:firstLineChars="450"/>
              <w:rPr>
                <w:rFonts w:hint="eastAsia" w:ascii="宋体" w:hAnsi="宋体" w:cs="宋体"/>
                <w:sz w:val="24"/>
                <w:szCs w:val="24"/>
                <w:highlight w:val="none"/>
              </w:rPr>
            </w:pPr>
            <w:r>
              <w:rPr>
                <w:rFonts w:hint="eastAsia" w:ascii="宋体" w:hAnsi="宋体" w:cs="宋体"/>
                <w:sz w:val="24"/>
                <w:szCs w:val="24"/>
                <w:highlight w:val="none"/>
              </w:rPr>
              <w:t>项目总工</w:t>
            </w:r>
          </w:p>
        </w:tc>
        <w:tc>
          <w:tcPr>
            <w:tcW w:w="3159" w:type="dxa"/>
            <w:vAlign w:val="center"/>
          </w:tcPr>
          <w:p w14:paraId="1BA7F5B7">
            <w:pPr>
              <w:widowControl/>
              <w:adjustRightInd w:val="0"/>
              <w:snapToGrid w:val="0"/>
              <w:jc w:val="center"/>
              <w:rPr>
                <w:rFonts w:hint="eastAsia" w:ascii="宋体" w:hAnsi="宋体" w:cs="宋体"/>
                <w:sz w:val="24"/>
                <w:szCs w:val="24"/>
                <w:highlight w:val="none"/>
              </w:rPr>
            </w:pPr>
            <w:r>
              <w:rPr>
                <w:rFonts w:ascii="宋体" w:hAnsi="宋体"/>
                <w:highlight w:val="none"/>
                <w:lang w:val="zh-CN"/>
              </w:rPr>
              <w:t>1</w:t>
            </w:r>
          </w:p>
        </w:tc>
        <w:tc>
          <w:tcPr>
            <w:tcW w:w="2983" w:type="dxa"/>
            <w:vAlign w:val="center"/>
          </w:tcPr>
          <w:p w14:paraId="6E08DEC6">
            <w:pPr>
              <w:widowControl/>
              <w:adjustRightInd w:val="0"/>
              <w:snapToGrid w:val="0"/>
              <w:jc w:val="center"/>
              <w:rPr>
                <w:rFonts w:hint="eastAsia" w:ascii="宋体" w:hAnsi="宋体" w:cs="宋体"/>
                <w:sz w:val="24"/>
                <w:szCs w:val="24"/>
                <w:highlight w:val="none"/>
              </w:rPr>
            </w:pPr>
            <w:r>
              <w:rPr>
                <w:rFonts w:ascii="宋体" w:hAnsi="宋体"/>
                <w:highlight w:val="none"/>
                <w:lang w:val="zh-CN"/>
              </w:rPr>
              <w:t>详见招标公告</w:t>
            </w:r>
          </w:p>
        </w:tc>
      </w:tr>
    </w:tbl>
    <w:p w14:paraId="202504FF">
      <w:pPr>
        <w:tabs>
          <w:tab w:val="left" w:pos="2260"/>
        </w:tabs>
        <w:spacing w:line="360" w:lineRule="auto"/>
        <w:ind w:left="1210" w:right="-20"/>
        <w:rPr>
          <w:rFonts w:hint="eastAsia" w:ascii="宋体" w:hAnsi="宋体" w:cs="宋体"/>
          <w:spacing w:val="1"/>
          <w:position w:val="-3"/>
          <w:sz w:val="24"/>
          <w:szCs w:val="24"/>
          <w:highlight w:val="none"/>
        </w:rPr>
      </w:pPr>
    </w:p>
    <w:p w14:paraId="1EA5E3D7">
      <w:pPr>
        <w:tabs>
          <w:tab w:val="left" w:pos="2260"/>
        </w:tabs>
        <w:spacing w:line="360" w:lineRule="auto"/>
        <w:ind w:left="1210" w:right="-20"/>
        <w:rPr>
          <w:rFonts w:hint="eastAsia" w:ascii="宋体" w:hAnsi="宋体" w:cs="宋体"/>
          <w:spacing w:val="1"/>
          <w:w w:val="105"/>
          <w:position w:val="-3"/>
          <w:sz w:val="24"/>
          <w:szCs w:val="24"/>
          <w:highlight w:val="none"/>
        </w:rPr>
      </w:pPr>
      <w:r>
        <w:rPr>
          <w:rFonts w:hint="eastAsia" w:ascii="宋体" w:hAnsi="宋体" w:cs="宋体"/>
          <w:spacing w:val="1"/>
          <w:w w:val="105"/>
          <w:position w:val="-3"/>
          <w:sz w:val="24"/>
          <w:szCs w:val="24"/>
          <w:highlight w:val="none"/>
        </w:rPr>
        <w:t>附录6</w:t>
      </w:r>
      <w:r>
        <w:rPr>
          <w:rFonts w:hint="eastAsia" w:ascii="宋体" w:hAnsi="宋体" w:cs="宋体"/>
          <w:spacing w:val="1"/>
          <w:w w:val="105"/>
          <w:position w:val="-3"/>
          <w:sz w:val="24"/>
          <w:szCs w:val="24"/>
          <w:highlight w:val="none"/>
        </w:rPr>
        <w:tab/>
      </w:r>
      <w:r>
        <w:rPr>
          <w:rFonts w:hint="eastAsia" w:ascii="宋体" w:hAnsi="宋体" w:cs="宋体"/>
          <w:spacing w:val="1"/>
          <w:w w:val="105"/>
          <w:position w:val="-3"/>
          <w:sz w:val="24"/>
          <w:szCs w:val="24"/>
          <w:highlight w:val="none"/>
        </w:rPr>
        <w:t>资格审查条件(其他管理和技术人员最低要求)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2"/>
        <w:gridCol w:w="3092"/>
        <w:gridCol w:w="3092"/>
      </w:tblGrid>
      <w:tr w14:paraId="4037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vAlign w:val="center"/>
          </w:tcPr>
          <w:p w14:paraId="09A9379E">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position w:val="-4"/>
                <w:sz w:val="24"/>
                <w:szCs w:val="24"/>
                <w:highlight w:val="none"/>
              </w:rPr>
              <w:t>人员</w:t>
            </w:r>
          </w:p>
        </w:tc>
        <w:tc>
          <w:tcPr>
            <w:tcW w:w="3092" w:type="dxa"/>
            <w:vAlign w:val="center"/>
          </w:tcPr>
          <w:p w14:paraId="39DE62B8">
            <w:pPr>
              <w:wordWrap w:val="0"/>
              <w:spacing w:line="360" w:lineRule="auto"/>
              <w:jc w:val="center"/>
              <w:rPr>
                <w:rFonts w:hint="eastAsia" w:asciiTheme="minorEastAsia" w:hAnsiTheme="minorEastAsia" w:cstheme="minorEastAsia"/>
                <w:position w:val="-4"/>
                <w:sz w:val="24"/>
                <w:szCs w:val="24"/>
                <w:highlight w:val="none"/>
              </w:rPr>
            </w:pPr>
            <w:r>
              <w:rPr>
                <w:rFonts w:hint="eastAsia" w:asciiTheme="minorEastAsia" w:hAnsiTheme="minorEastAsia" w:cstheme="minorEastAsia"/>
                <w:position w:val="-4"/>
                <w:sz w:val="24"/>
                <w:szCs w:val="24"/>
                <w:highlight w:val="none"/>
              </w:rPr>
              <w:t>数量</w:t>
            </w:r>
          </w:p>
        </w:tc>
        <w:tc>
          <w:tcPr>
            <w:tcW w:w="3092" w:type="dxa"/>
            <w:vAlign w:val="center"/>
          </w:tcPr>
          <w:p w14:paraId="658E9933">
            <w:pPr>
              <w:wordWrap w:val="0"/>
              <w:spacing w:line="360" w:lineRule="auto"/>
              <w:jc w:val="center"/>
              <w:rPr>
                <w:rFonts w:hint="eastAsia" w:asciiTheme="minorEastAsia" w:hAnsiTheme="minorEastAsia" w:cstheme="minorEastAsia"/>
                <w:position w:val="-4"/>
                <w:sz w:val="24"/>
                <w:szCs w:val="24"/>
                <w:highlight w:val="none"/>
              </w:rPr>
            </w:pPr>
            <w:r>
              <w:rPr>
                <w:rFonts w:hint="eastAsia" w:asciiTheme="minorEastAsia" w:hAnsiTheme="minorEastAsia" w:cstheme="minorEastAsia"/>
                <w:position w:val="-4"/>
                <w:sz w:val="24"/>
                <w:szCs w:val="24"/>
                <w:highlight w:val="none"/>
              </w:rPr>
              <w:t>资格要求</w:t>
            </w:r>
          </w:p>
        </w:tc>
      </w:tr>
      <w:tr w14:paraId="4AF9B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092" w:type="dxa"/>
            <w:vAlign w:val="center"/>
          </w:tcPr>
          <w:p w14:paraId="201845BF">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专职安全员</w:t>
            </w:r>
          </w:p>
        </w:tc>
        <w:tc>
          <w:tcPr>
            <w:tcW w:w="3092" w:type="dxa"/>
            <w:vAlign w:val="center"/>
          </w:tcPr>
          <w:p w14:paraId="3A768444">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1</w:t>
            </w:r>
          </w:p>
        </w:tc>
        <w:tc>
          <w:tcPr>
            <w:tcW w:w="3092" w:type="dxa"/>
            <w:vAlign w:val="center"/>
          </w:tcPr>
          <w:p w14:paraId="533957E9">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详见招标公告</w:t>
            </w:r>
          </w:p>
        </w:tc>
      </w:tr>
    </w:tbl>
    <w:p w14:paraId="656674A4">
      <w:pPr>
        <w:spacing w:before="2" w:line="360" w:lineRule="auto"/>
        <w:rPr>
          <w:rFonts w:hint="eastAsia" w:ascii="宋体" w:hAnsi="宋体" w:cs="宋体"/>
          <w:sz w:val="24"/>
          <w:szCs w:val="24"/>
          <w:highlight w:val="none"/>
        </w:rPr>
      </w:pPr>
    </w:p>
    <w:p w14:paraId="033E026B">
      <w:pPr>
        <w:tabs>
          <w:tab w:val="left" w:pos="1620"/>
        </w:tabs>
        <w:spacing w:line="360" w:lineRule="auto"/>
        <w:ind w:left="569" w:right="-20"/>
        <w:rPr>
          <w:rFonts w:hint="eastAsia" w:ascii="宋体" w:hAnsi="宋体" w:cs="宋体"/>
          <w:spacing w:val="1"/>
          <w:w w:val="105"/>
          <w:position w:val="-3"/>
          <w:sz w:val="24"/>
          <w:szCs w:val="24"/>
          <w:highlight w:val="none"/>
        </w:rPr>
      </w:pPr>
      <w:r>
        <w:rPr>
          <w:rFonts w:hint="eastAsia" w:ascii="宋体" w:hAnsi="宋体" w:cs="宋体"/>
          <w:spacing w:val="1"/>
          <w:position w:val="-3"/>
          <w:sz w:val="24"/>
          <w:szCs w:val="24"/>
          <w:highlight w:val="none"/>
        </w:rPr>
        <w:t>附</w:t>
      </w:r>
      <w:r>
        <w:rPr>
          <w:rFonts w:hint="eastAsia" w:ascii="宋体" w:hAnsi="宋体" w:cs="宋体"/>
          <w:position w:val="-3"/>
          <w:sz w:val="24"/>
          <w:szCs w:val="24"/>
          <w:highlight w:val="none"/>
        </w:rPr>
        <w:t>录7</w:t>
      </w:r>
      <w:r>
        <w:rPr>
          <w:rFonts w:hint="eastAsia" w:ascii="宋体" w:hAnsi="宋体" w:cs="宋体"/>
          <w:position w:val="-3"/>
          <w:sz w:val="24"/>
          <w:szCs w:val="24"/>
          <w:highlight w:val="none"/>
        </w:rPr>
        <w:tab/>
      </w:r>
      <w:r>
        <w:rPr>
          <w:rFonts w:hint="eastAsia" w:ascii="宋体" w:hAnsi="宋体" w:cs="宋体"/>
          <w:spacing w:val="1"/>
          <w:w w:val="105"/>
          <w:position w:val="-3"/>
          <w:sz w:val="24"/>
          <w:szCs w:val="24"/>
          <w:highlight w:val="none"/>
        </w:rPr>
        <w:t>资格审查条件(主要机械设备和试验检测设备最低要求)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3030"/>
        <w:gridCol w:w="1950"/>
        <w:gridCol w:w="2644"/>
      </w:tblGrid>
      <w:tr w14:paraId="75D4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652" w:type="dxa"/>
            <w:vAlign w:val="center"/>
          </w:tcPr>
          <w:p w14:paraId="47A90672">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设备名称</w:t>
            </w:r>
          </w:p>
        </w:tc>
        <w:tc>
          <w:tcPr>
            <w:tcW w:w="3030" w:type="dxa"/>
            <w:vAlign w:val="center"/>
          </w:tcPr>
          <w:p w14:paraId="6F179A82">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规格、功率及容量</w:t>
            </w:r>
          </w:p>
        </w:tc>
        <w:tc>
          <w:tcPr>
            <w:tcW w:w="1950" w:type="dxa"/>
            <w:vAlign w:val="center"/>
          </w:tcPr>
          <w:p w14:paraId="0CC5AEAC">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单位</w:t>
            </w:r>
          </w:p>
        </w:tc>
        <w:tc>
          <w:tcPr>
            <w:tcW w:w="2644" w:type="dxa"/>
            <w:vAlign w:val="center"/>
          </w:tcPr>
          <w:p w14:paraId="0A625A76">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最低数量要求</w:t>
            </w:r>
          </w:p>
        </w:tc>
      </w:tr>
      <w:tr w14:paraId="2F62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652" w:type="dxa"/>
            <w:vAlign w:val="center"/>
          </w:tcPr>
          <w:p w14:paraId="58BD3286">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w:t>
            </w:r>
          </w:p>
        </w:tc>
        <w:tc>
          <w:tcPr>
            <w:tcW w:w="3030" w:type="dxa"/>
            <w:vAlign w:val="center"/>
          </w:tcPr>
          <w:p w14:paraId="7BA50CAF">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w:t>
            </w:r>
          </w:p>
        </w:tc>
        <w:tc>
          <w:tcPr>
            <w:tcW w:w="4594" w:type="dxa"/>
            <w:gridSpan w:val="2"/>
            <w:vAlign w:val="center"/>
          </w:tcPr>
          <w:p w14:paraId="31F13C39">
            <w:pPr>
              <w:wordWrap w:val="0"/>
              <w:spacing w:line="360" w:lineRule="auto"/>
              <w:jc w:val="center"/>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w:t>
            </w:r>
          </w:p>
        </w:tc>
      </w:tr>
    </w:tbl>
    <w:p w14:paraId="22B2D4DE">
      <w:pPr>
        <w:tabs>
          <w:tab w:val="left" w:pos="1620"/>
        </w:tabs>
        <w:spacing w:line="360" w:lineRule="auto"/>
        <w:ind w:left="569" w:right="-20"/>
        <w:rPr>
          <w:rFonts w:hint="eastAsia" w:ascii="宋体" w:hAnsi="宋体" w:cs="宋体"/>
          <w:sz w:val="28"/>
          <w:szCs w:val="28"/>
          <w:highlight w:val="none"/>
        </w:rPr>
      </w:pPr>
    </w:p>
    <w:p w14:paraId="5D5C36C9">
      <w:pPr>
        <w:widowControl/>
        <w:jc w:val="left"/>
        <w:rPr>
          <w:rFonts w:hint="eastAsia" w:ascii="宋体" w:hAnsi="宋体" w:cs="Arial"/>
          <w:b/>
          <w:bCs/>
          <w:w w:val="99"/>
          <w:kern w:val="0"/>
          <w:sz w:val="28"/>
          <w:szCs w:val="28"/>
          <w:highlight w:val="none"/>
        </w:rPr>
      </w:pPr>
      <w:bookmarkStart w:id="31" w:name="_Hlk172061356"/>
      <w:r>
        <w:rPr>
          <w:rFonts w:hint="eastAsia" w:ascii="宋体" w:hAnsi="宋体"/>
          <w:w w:val="99"/>
          <w:kern w:val="0"/>
          <w:sz w:val="28"/>
          <w:szCs w:val="28"/>
          <w:highlight w:val="none"/>
        </w:rPr>
        <w:br w:type="page"/>
      </w:r>
    </w:p>
    <w:p w14:paraId="73E9506B">
      <w:pPr>
        <w:pStyle w:val="3"/>
        <w:adjustRightInd w:val="0"/>
        <w:snapToGrid w:val="0"/>
        <w:spacing w:before="0" w:after="0" w:line="240" w:lineRule="auto"/>
        <w:jc w:val="center"/>
        <w:rPr>
          <w:rFonts w:hint="eastAsia" w:ascii="宋体" w:hAnsi="宋体" w:eastAsia="宋体"/>
          <w:w w:val="99"/>
          <w:kern w:val="0"/>
          <w:sz w:val="28"/>
          <w:szCs w:val="28"/>
          <w:highlight w:val="none"/>
        </w:rPr>
      </w:pPr>
      <w:r>
        <w:rPr>
          <w:rFonts w:hint="eastAsia" w:ascii="宋体" w:hAnsi="宋体" w:eastAsia="宋体"/>
          <w:w w:val="99"/>
          <w:kern w:val="0"/>
          <w:sz w:val="28"/>
          <w:szCs w:val="28"/>
          <w:highlight w:val="none"/>
        </w:rPr>
        <w:t>投标人须知</w:t>
      </w:r>
    </w:p>
    <w:p w14:paraId="704773D0">
      <w:pPr>
        <w:rPr>
          <w:highlight w:val="none"/>
        </w:rPr>
      </w:pPr>
    </w:p>
    <w:p w14:paraId="7E951581">
      <w:pPr>
        <w:adjustRightInd w:val="0"/>
        <w:snapToGrid w:val="0"/>
        <w:spacing w:line="360" w:lineRule="auto"/>
        <w:rPr>
          <w:rFonts w:hint="eastAsia" w:ascii="宋体" w:hAnsi="宋体" w:cs="宋体"/>
          <w:sz w:val="24"/>
          <w:szCs w:val="24"/>
          <w:highlight w:val="none"/>
        </w:rPr>
      </w:pPr>
      <w:bookmarkStart w:id="32" w:name="_Hlk71561008"/>
      <w:r>
        <w:rPr>
          <w:rFonts w:hint="eastAsia" w:ascii="宋体" w:hAnsi="宋体" w:cs="宋体"/>
          <w:sz w:val="24"/>
          <w:szCs w:val="24"/>
          <w:highlight w:val="none"/>
        </w:rPr>
        <w:t>1．总则</w:t>
      </w:r>
    </w:p>
    <w:p w14:paraId="7DC54FEA">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1.1 项目概况</w:t>
      </w:r>
    </w:p>
    <w:p w14:paraId="7CADDB7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1.1.1 根据《 中华人民共和国招标投标法》 等有关法律、法规和规章的规定，本招标项目己具备招标条件，现对本标段施工进行招标。</w:t>
      </w:r>
    </w:p>
    <w:p w14:paraId="00FCD42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1.1.2 本招标项目招标人：见投标人须知前附表。</w:t>
      </w:r>
    </w:p>
    <w:p w14:paraId="1EA2626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1.1.3 本标段招标代理机构：见投标人须知前附表。</w:t>
      </w:r>
    </w:p>
    <w:p w14:paraId="57074A7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1.1.4 本招标项目名称：见投标人须知前附表。</w:t>
      </w:r>
    </w:p>
    <w:p w14:paraId="21D7CA7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1.1.5 本标段建设地点：见投标人须知前附表。</w:t>
      </w:r>
    </w:p>
    <w:p w14:paraId="3DD89521">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1.2 资金来源和落实情况</w:t>
      </w:r>
    </w:p>
    <w:p w14:paraId="46BE992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1.2.1 本招标项目的资金来源：见投标人须知前附表。</w:t>
      </w:r>
    </w:p>
    <w:p w14:paraId="4DC763D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1.2.2 本招标项目的出资比例：见投标人须知前附表。</w:t>
      </w:r>
    </w:p>
    <w:p w14:paraId="5394690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1.2.3 本招标项目的资金落实情况：见投标人须知前附表。</w:t>
      </w:r>
    </w:p>
    <w:p w14:paraId="6C90EE3E">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1.3 招标范围、计划工期和质量要求</w:t>
      </w:r>
    </w:p>
    <w:p w14:paraId="3EA9061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1.3.1 本次招标范围：见投标人须知前附表。</w:t>
      </w:r>
    </w:p>
    <w:p w14:paraId="2BCE410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1.3.2 本标段的计划工期：见投标人须知前附表。</w:t>
      </w:r>
    </w:p>
    <w:p w14:paraId="6DCE2EF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1.3.3 本标段的质量要求：见投标人须知前附表。</w:t>
      </w:r>
    </w:p>
    <w:p w14:paraId="74A13C79">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1.4 投标人资格要求（适用于已进行资格预审的）</w:t>
      </w:r>
    </w:p>
    <w:p w14:paraId="3D41DBF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投标人应是收到招标人发出投标邀请书的单位。</w:t>
      </w:r>
    </w:p>
    <w:p w14:paraId="0EFF0AFE">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1.4 投标人资格要求（适用于未进行资格预审的）</w:t>
      </w:r>
    </w:p>
    <w:p w14:paraId="4E21AB2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1.4.1 投标人应具备承担本标段施工的资质条件、能力和信誉。</w:t>
      </w:r>
    </w:p>
    <w:p w14:paraId="30E4005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(l）资质条件：见投标人须知前附表；</w:t>
      </w:r>
    </w:p>
    <w:p w14:paraId="3D45827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(2）财务要求：见投标人须知前附表；</w:t>
      </w:r>
    </w:p>
    <w:p w14:paraId="0196C6C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(3）业绩要求：见投标人须知前附表；</w:t>
      </w:r>
    </w:p>
    <w:p w14:paraId="1B48D6AF">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(4）信誉要求：见投标人须知前附表；</w:t>
      </w:r>
    </w:p>
    <w:p w14:paraId="7AB1F53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(5）项目经理资格：见投标人须知前附表；</w:t>
      </w:r>
    </w:p>
    <w:p w14:paraId="5FA376F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(6）其他要求：见投标人须知前附表。</w:t>
      </w:r>
    </w:p>
    <w:p w14:paraId="248AD09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1.4.2 投标人须知前附表规定接受联合体投标的，除应符合本章第1.4.1项和投标人须知前附表的要求外，还应遵守以下规定：</w:t>
      </w:r>
    </w:p>
    <w:p w14:paraId="10D6BDD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(1）联合体各方应按招标文件提供的格式签订联合体协议书，明确联合体牵头人和各方权利义务；</w:t>
      </w:r>
    </w:p>
    <w:p w14:paraId="00CF389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(2）由同一专业的单位组成的联合体，按照资质等级较低的单位确定资质等级；</w:t>
      </w:r>
    </w:p>
    <w:p w14:paraId="362F48B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(3）联合体各方不得再以自己名义单独或参加其他联合体在同一标段中投标。</w:t>
      </w:r>
    </w:p>
    <w:p w14:paraId="2F20E58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1.4.3 投标人不得存在下列情形之一：</w:t>
      </w:r>
    </w:p>
    <w:p w14:paraId="60E8334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(l）为招标人不具有独立法人资格的附属机构（单位）; </w:t>
      </w:r>
    </w:p>
    <w:p w14:paraId="67A5EB2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(2）为本标段前期准备提供设计或咨询服务的，但设计施工总承包的除外；</w:t>
      </w:r>
    </w:p>
    <w:p w14:paraId="7FF5BE7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(3）为本标段的监理人；</w:t>
      </w:r>
    </w:p>
    <w:p w14:paraId="0A53AFC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(4）为本标段的代建人；</w:t>
      </w:r>
    </w:p>
    <w:p w14:paraId="63B5BBC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(5）为本标段提供招标代理服务的；</w:t>
      </w:r>
    </w:p>
    <w:p w14:paraId="1C559D2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(6）与本标段的监理人或代建人或招标代理机构同为一个法定代表人的；</w:t>
      </w:r>
    </w:p>
    <w:p w14:paraId="1574FC2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(7）与本标段的监理人或代建人或招标代理机构相互控股或参股的；</w:t>
      </w:r>
    </w:p>
    <w:p w14:paraId="1D19DB6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(8）与本标段的监理人或代建人或招标代理机构相互任职或工作的；</w:t>
      </w:r>
    </w:p>
    <w:p w14:paraId="48A10CD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(9）被责令停业的；</w:t>
      </w:r>
    </w:p>
    <w:p w14:paraId="091F9DB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(10）被暂停或取消投标资格的；</w:t>
      </w:r>
    </w:p>
    <w:p w14:paraId="25B27C8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(11）财产被接管或冻结的；</w:t>
      </w:r>
    </w:p>
    <w:p w14:paraId="377D98B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(12）在最近三年内有骗取中标或严重违约或重大工程质量问题的。</w:t>
      </w:r>
    </w:p>
    <w:p w14:paraId="67976FA7">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1.5 费用承担</w:t>
      </w:r>
    </w:p>
    <w:p w14:paraId="5258CCC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投标人准备和参加投标活动发生的费用自理。</w:t>
      </w:r>
    </w:p>
    <w:p w14:paraId="5BD27CB9">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1.6 保密</w:t>
      </w:r>
    </w:p>
    <w:p w14:paraId="72A334A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参与招标投标活动的各方应对招标文件和投标文件中的商业和技术等秘密保密，违者应对由此造成的后果承担法律责任。</w:t>
      </w:r>
    </w:p>
    <w:p w14:paraId="26FEBC00">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1.7 语言文字</w:t>
      </w:r>
    </w:p>
    <w:p w14:paraId="1EDDA27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除专用术语外，与招标投标有关的语言均使用中文。必要时专用术语应附有中文注释。</w:t>
      </w:r>
    </w:p>
    <w:p w14:paraId="1F56622B">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1.8 计量单位</w:t>
      </w:r>
    </w:p>
    <w:p w14:paraId="4289F16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所有计量均采用中华人民共和国法定计量单位。</w:t>
      </w:r>
    </w:p>
    <w:p w14:paraId="2018C9CD">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1.9 踏勘现场</w:t>
      </w:r>
    </w:p>
    <w:p w14:paraId="313106E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1.9.1 投标人须知前附表规定组织踏勘现场的，招标人按投标人须知前附表规定的时间、地点组织投标人踏勘项目现场。</w:t>
      </w:r>
    </w:p>
    <w:p w14:paraId="19B98F9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1.9.2 投标人踏勘现场发生的费用自理。</w:t>
      </w:r>
    </w:p>
    <w:p w14:paraId="6CBBE0D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1.9.3 除招标人的原因外，投标人自行负责在踏勘现场中所发生的人员伤亡和财产损失。</w:t>
      </w:r>
    </w:p>
    <w:p w14:paraId="6DFF83DF">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1.9.4 招标人在踏勘现场中介绍的工程场地和相关的周边环境情况，供投标人在编制投标文件时参考，招标人不对投标人据此作出的判断和决策负责。</w:t>
      </w:r>
    </w:p>
    <w:p w14:paraId="2804FF9D">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1.10 投标预备会</w:t>
      </w:r>
    </w:p>
    <w:p w14:paraId="2080258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1.10.1 投标人须知前附表规定召开投标预备会的，招标人按投标人须知前附表规定的时间和地点召开投标预备会，澄清投标人提出的问题。</w:t>
      </w:r>
    </w:p>
    <w:p w14:paraId="5473004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1.10.2 投标人应在投标人须知前附表规定的时间前，以书面形式将提出的问题送达招标人，以便招标人在会议期间澄清。</w:t>
      </w:r>
    </w:p>
    <w:p w14:paraId="415D2AE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1.10.3 投标预备会后，招标人在投标人须知前附表规定的时间内，将对投标人所提问颗的澄清，以书面方式通知所有购买招标文件的投标人。该澄清内容为招标文件的组成部分。</w:t>
      </w:r>
    </w:p>
    <w:p w14:paraId="33A5BB16">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1.11 分包</w:t>
      </w:r>
    </w:p>
    <w:p w14:paraId="1BB22BFF">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投标人拟在中标后将中标项目的部分非主体、非关键性工作进行分包的，应符合投标人须知前附表规定的分包内容、分包金额和接受分包的第三人资质要求等限制性条件。</w:t>
      </w:r>
    </w:p>
    <w:p w14:paraId="7B535DF6">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1.12 偏离</w:t>
      </w:r>
    </w:p>
    <w:p w14:paraId="486F70DF">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投标人须知前附表允许投标文件偏离招标文件某些要求的，偏离应当符合招标文件规定的偏离范围和幅度。</w:t>
      </w:r>
    </w:p>
    <w:p w14:paraId="3BD9C747">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2．招标文件</w:t>
      </w:r>
    </w:p>
    <w:p w14:paraId="4177C784">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2.1 招标文件的组成</w:t>
      </w:r>
    </w:p>
    <w:p w14:paraId="6D58037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本招标文件包括：</w:t>
      </w:r>
    </w:p>
    <w:p w14:paraId="0E2386E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(1）招标公告（或投标邀请书）; </w:t>
      </w:r>
    </w:p>
    <w:p w14:paraId="04C4C2CF">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(2）投标人须知；</w:t>
      </w:r>
    </w:p>
    <w:p w14:paraId="046B96D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(3）评标办法；</w:t>
      </w:r>
    </w:p>
    <w:p w14:paraId="59EC52E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(4）合同条款及格式；</w:t>
      </w:r>
    </w:p>
    <w:p w14:paraId="5831E0A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(5）工程量清单；</w:t>
      </w:r>
    </w:p>
    <w:p w14:paraId="37F610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(6）图纸；</w:t>
      </w:r>
    </w:p>
    <w:p w14:paraId="2955CE0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(7）技术标准和要求；</w:t>
      </w:r>
    </w:p>
    <w:p w14:paraId="243D7A3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(8）投标文件格式；</w:t>
      </w:r>
    </w:p>
    <w:p w14:paraId="5DDB30B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(9）投标人须知前附表规定的其他材料。</w:t>
      </w:r>
    </w:p>
    <w:p w14:paraId="5023694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根据本章第1.10 款、第2.2 款和第2.3 款对招标文件所作的澄清、修改，构成招标文件的组成部分。</w:t>
      </w:r>
    </w:p>
    <w:p w14:paraId="7FD8BF6A">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2.2 招标文件的澄清</w:t>
      </w:r>
    </w:p>
    <w:p w14:paraId="757383F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37861B8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2.2.2 招标文件的澄清将在投标人须知前附表规定的投标截止时间15天前以书面形式发给所有购买招标文件的投标人，但不指明澄清问题的来源。如果澄清发出的时间距投标截止时间不足15天，相应延长投标截止时间。</w:t>
      </w:r>
    </w:p>
    <w:p w14:paraId="59ED159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2.2.3 投标人在收到澄清后，应在投标人须知前附表规定的时间内以书面形式通知招标人，确认己收到该澄清。</w:t>
      </w:r>
    </w:p>
    <w:p w14:paraId="4B47027C">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2.3 招标文件的修改</w:t>
      </w:r>
    </w:p>
    <w:p w14:paraId="2E81E46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2.3.1 在投标截止时间15天前，招标人可以书面形式修改招标文件，并通知所有已购买招标文件的投标人。如果修改招标文件的时间距投标截止时间不足15天，相应延长投标截止时间。</w:t>
      </w:r>
    </w:p>
    <w:p w14:paraId="318FA79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2.3.2 投标人收到修改内容后，应在投标人须知前附表规定的时间内以书面形式通知招标人，确认己收到该修改。</w:t>
      </w:r>
    </w:p>
    <w:p w14:paraId="631E4AE6">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3．投标文件</w:t>
      </w:r>
    </w:p>
    <w:p w14:paraId="4D52974F">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3.1 投标文件的组成</w:t>
      </w:r>
    </w:p>
    <w:p w14:paraId="4662979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3.1.1 投标文件应包括下列内容：</w:t>
      </w:r>
    </w:p>
    <w:p w14:paraId="06A26BD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(l）投标函及投标函附录；</w:t>
      </w:r>
    </w:p>
    <w:p w14:paraId="7D58F77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(2）法定代表人身份证明或附有法定代表人身份证明的授权委托书；</w:t>
      </w:r>
    </w:p>
    <w:p w14:paraId="57AC5D9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(3）联合体协议书；</w:t>
      </w:r>
    </w:p>
    <w:p w14:paraId="07AC03D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(4）投标保证金；</w:t>
      </w:r>
    </w:p>
    <w:p w14:paraId="7845C06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(5）已标价工程量清单；</w:t>
      </w:r>
    </w:p>
    <w:p w14:paraId="18516DD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(6）施工组织设计；</w:t>
      </w:r>
    </w:p>
    <w:p w14:paraId="0663BF3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(7）项目管理机构；</w:t>
      </w:r>
    </w:p>
    <w:p w14:paraId="79CB9C7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(8）拟分包项目情况表；</w:t>
      </w:r>
    </w:p>
    <w:p w14:paraId="21B3F5DF">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(9）资格审查资料；</w:t>
      </w:r>
    </w:p>
    <w:p w14:paraId="56DB482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(10）投标人须知前附表规定的其他材料。</w:t>
      </w:r>
    </w:p>
    <w:p w14:paraId="7569D2B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3.1.2 投标人须知前附表规定不接受联合体投标的，或投标人没有组成联合体的，投标文件不包括本章第3.1.1 (3）目所指的联合体协议书。</w:t>
      </w:r>
    </w:p>
    <w:p w14:paraId="7D1C8112">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3.2 投标报价</w:t>
      </w:r>
    </w:p>
    <w:p w14:paraId="6F0D683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3.2.1 投标人应按第五章“工程量清单”的要求填写相应表格。</w:t>
      </w:r>
    </w:p>
    <w:p w14:paraId="7FE21F8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3.2.2 投标人在投标截止时间前修改投标函中的投标总报价，应同时修改第五章“工程量清单”中的相应报价。此修改须符合本章第4.3 款的有关要求。</w:t>
      </w:r>
    </w:p>
    <w:p w14:paraId="31FA8A27">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3.3 投标有效期</w:t>
      </w:r>
    </w:p>
    <w:p w14:paraId="26D16E5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3.3.1 在投标人须知前附表规定的投标有效期内，投标人不得要求撤销或修改其投标文件。</w:t>
      </w:r>
    </w:p>
    <w:p w14:paraId="4DFE3B2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0E8B3F6B">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3.4 投标保证金</w:t>
      </w:r>
    </w:p>
    <w:p w14:paraId="34BC433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3.4.1 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14:paraId="3B49358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3.4.2 投标人不按本章第3.4.1 项要求提交投标保证金的，其投标文件作废标处理。</w:t>
      </w:r>
    </w:p>
    <w:p w14:paraId="26CAA95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3.4.3 招标人与中标人签订合同后5个工作日内，向未中标的投标人和中标人退还投标保证金。</w:t>
      </w:r>
    </w:p>
    <w:p w14:paraId="0DAA0B1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3.4.4 有下列情形之一的，投标保证金将不予退还：</w:t>
      </w:r>
    </w:p>
    <w:p w14:paraId="5D545CE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(1）投标人在规定的投标有效期内撤销或修改其投标文件；</w:t>
      </w:r>
    </w:p>
    <w:p w14:paraId="2FE3E1D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(2）中标人在收到中标通知书后，无正当理由拒签合同协议书或未按招标文件规定提交履约担保。</w:t>
      </w:r>
    </w:p>
    <w:p w14:paraId="6CB394EB">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3.5 资格审查资料（适用于已进行资格预审的）</w:t>
      </w:r>
    </w:p>
    <w:p w14:paraId="0F10B9E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投标人在编制投标文件时，应按新情况更新或补充其在申请资格预审时提供的资料，以证实其各项资格条件仍能继续满足资格预审文件的要求，具备承担本标段施工的资质条件、能力和信誉。</w:t>
      </w:r>
    </w:p>
    <w:p w14:paraId="1F4AE4B8">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3.5 资格审查资料（适用于未进行资格预审的）</w:t>
      </w:r>
    </w:p>
    <w:p w14:paraId="692D78D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3.5.1 “投标人基本情况表”应附投标人营业执照副本及其年检合格的证明材料、资质证书副本和安全生产许可证等材料的复印件。</w:t>
      </w:r>
    </w:p>
    <w:p w14:paraId="4AC2CDF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3.5.2 “近年财务状况表”应附经会计师事务所或审计机构审计的财务会计报表，包括资产负债表、现金流量表、利润表和财务情况说明书的复印件，具体年份要求见投标人须知前附表。</w:t>
      </w:r>
    </w:p>
    <w:p w14:paraId="7E55EA2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3.5.3 “近年完成的类似项目情况表”应附中标通知书和（或）合同协议书、工程接收证书（工程竣工验收证书）的复印件，具体年份要求见投标人须知前附表。每张表格只填写一个项目，并标明序号。</w:t>
      </w:r>
    </w:p>
    <w:p w14:paraId="6B3DB7B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3.5.4 “正在施工和新承接的项目情况表”应附中标通知书和（或）合同协议书复印件。每张表格只填写一个项目，并标明序号。</w:t>
      </w:r>
    </w:p>
    <w:p w14:paraId="6197E1D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3.5.5 “近年发生的诉讼及仲裁情况”应说明相关情况，并附法院或仲裁机构作出的判决、裁决等有关法律文书复印件，具体年份要求见投标人须知前附表。</w:t>
      </w:r>
    </w:p>
    <w:p w14:paraId="759B317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3.5.6 投标人须知前附表规定接受联合体投标的，本章第3.5.1 项至第3.5.5 项规定的表格和资料应包括联合体各方相关情况。</w:t>
      </w:r>
    </w:p>
    <w:p w14:paraId="5E98A472">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3.6 备选投标方案</w:t>
      </w:r>
    </w:p>
    <w:p w14:paraId="25D1C0D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除投标人须知前附表另有规定外，投标人不得递交备选投标方案。允许投标人递交备选投标方案的，只有中标人所递交的备选投标方案方可予以考虑。评标委员会认为中标人的各选投标方案优于其按照招标文件要求编制的投标方案的，招标人可以接受该备选投标方案。</w:t>
      </w:r>
    </w:p>
    <w:p w14:paraId="5124BD1B">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3.7 投标文件的编制</w:t>
      </w:r>
    </w:p>
    <w:p w14:paraId="075ADF4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223B9E5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3.7.2 投标文件应当对招标文件有关工期、投标有效期、质量要求、技术标准和要求、招标范围等实质性内容作出响应。</w:t>
      </w:r>
    </w:p>
    <w:p w14:paraId="59A48AF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4E78B43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3.7.4 投标文件正本一份，副本份数见投标人须知前附表。正本和副本的封面上应清楚地标记“正本”或“副本”的字样。当副本和正本不一致时，以正本为准。</w:t>
      </w:r>
    </w:p>
    <w:p w14:paraId="7F3ED48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3.7.5 投标文件的正本与副本应分别装订成册，并编制目录，具体装订要求见投标人须知前附表规定。</w:t>
      </w:r>
    </w:p>
    <w:p w14:paraId="0CE371EF">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4．投标</w:t>
      </w:r>
    </w:p>
    <w:p w14:paraId="0758C1C0">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4.1 投标文件的密封和标记</w:t>
      </w:r>
    </w:p>
    <w:p w14:paraId="771B5B0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4.1.1 投标文件的正本与副本应分开包装，加贴封条，并在封套的封口处加盖投标人单位章。</w:t>
      </w:r>
    </w:p>
    <w:p w14:paraId="39BB631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4.1.2 投标文件的封套上应清楚地标记“正本”或“副本”字样，封套上应写明的其他内容见投标人须知前附表。</w:t>
      </w:r>
    </w:p>
    <w:p w14:paraId="5719ACF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4.1.3 未按本章第4.1.1 项或第4.1.2 项要求密封和加写标记的投标文件，招标人不予受理。</w:t>
      </w:r>
    </w:p>
    <w:p w14:paraId="171D1979">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4.2 投标文件的递交</w:t>
      </w:r>
    </w:p>
    <w:p w14:paraId="46201E5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4.2.1 投标人应在本章第2.2.2 项规定的投标截止时间前递交投标文件。</w:t>
      </w:r>
    </w:p>
    <w:p w14:paraId="1B014BB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4.2.2 投标人递交投标文件的地点：见投标人须知前附表。</w:t>
      </w:r>
    </w:p>
    <w:p w14:paraId="48B234F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4.2.3 除投标人须知前附表另有规定外，投标人所递交的投标文件不予退还。</w:t>
      </w:r>
    </w:p>
    <w:p w14:paraId="73E33C6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4.2.4 招标人收到投标文件后，向投标人出具签收凭证。</w:t>
      </w:r>
    </w:p>
    <w:p w14:paraId="7C5A85F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4.2.5 逾期送达的或者未送达指定地点的投标文件，招标人不予受理。</w:t>
      </w:r>
    </w:p>
    <w:p w14:paraId="740FBC6E">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4.3 投标文件的修改与撤回</w:t>
      </w:r>
    </w:p>
    <w:p w14:paraId="741D40AF">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4.3.1 在本章第2.2.2 项规定的投标截止时间前，投标人可以修改或撤回已递交的投标文件，但应以书面形式通知招标人。</w:t>
      </w:r>
    </w:p>
    <w:p w14:paraId="724C7B0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4.3.2 投标人修改或撤回已递交投标文件的书面通知应按照本章第3.7.3 项的要求签字或盖章。招标人收到书面通知后，向投标人出具签收凭证。</w:t>
      </w:r>
    </w:p>
    <w:p w14:paraId="7F7816F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4.3.3 修改的内容为投标文件的组成部分。修改的投标文件应按照本章第3 条、第4 条规定进行编制、密封、标记和递交，并标明“修改”字样。</w:t>
      </w:r>
    </w:p>
    <w:p w14:paraId="3F204171">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5．开标</w:t>
      </w:r>
    </w:p>
    <w:p w14:paraId="10A4B0DF">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5.1 开标时间和地点</w:t>
      </w:r>
    </w:p>
    <w:p w14:paraId="56998A9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招标人在本章第2.2.2 项规定的投标截止时间（开标时间）和投标人须知前附表规定的地点公开开标，并邀请所有投标人的法定代表人或其委托代理人准时参加。</w:t>
      </w:r>
    </w:p>
    <w:p w14:paraId="3E451078">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5.2 开标程序</w:t>
      </w:r>
    </w:p>
    <w:p w14:paraId="6696FF7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主持人按下列程序进行开标：</w:t>
      </w:r>
    </w:p>
    <w:p w14:paraId="536F5C9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(l）宣布开标纪律；</w:t>
      </w:r>
    </w:p>
    <w:p w14:paraId="5579418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(2）公布在投标截止时间前递交投标文件的投标人名称，并点名确认投标人是否派人到场；</w:t>
      </w:r>
    </w:p>
    <w:p w14:paraId="6591676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(3）宣布开标人、唱标人、记录人、监标人等有关人员姓名；</w:t>
      </w:r>
    </w:p>
    <w:p w14:paraId="0B0B099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(4）按照投标人须知前附表规定检查投标文件的密封情况；</w:t>
      </w:r>
    </w:p>
    <w:p w14:paraId="608A43B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(5）按照投标人须知前附表的规定确定并宣布投标文件开标顺序；</w:t>
      </w:r>
    </w:p>
    <w:p w14:paraId="370F620E">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(6）设有标底的，公布标底；</w:t>
      </w:r>
    </w:p>
    <w:p w14:paraId="717B3B4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(7）按照宣布的开标顺序当众开标，公布投标人名称、标段名称、投标保证金的递交情况、投标报价、质量目标、工期及其他内容，并记录在案；</w:t>
      </w:r>
    </w:p>
    <w:p w14:paraId="38B9559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(8）投标人代表、招标人代表、监标人、记录人等有关人员在开标记录上签字确认；</w:t>
      </w:r>
    </w:p>
    <w:p w14:paraId="3A830DB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(9）开标结束。</w:t>
      </w:r>
    </w:p>
    <w:p w14:paraId="1763EBB8">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6．评标</w:t>
      </w:r>
    </w:p>
    <w:p w14:paraId="538F09EF">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6.1 评标委员会</w:t>
      </w:r>
    </w:p>
    <w:p w14:paraId="57648FFA">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1056A982">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6.1.2 评标委员会成员有下列情形之一的，应当回避：</w:t>
      </w:r>
    </w:p>
    <w:p w14:paraId="01002C2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(1）招标人或投标人的主要负责人的近亲属；</w:t>
      </w:r>
    </w:p>
    <w:p w14:paraId="7076C5E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(2）项目主管部门或者行政监督部门的人员：</w:t>
      </w:r>
    </w:p>
    <w:p w14:paraId="555C95B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(3）与投标人有经济利益关系，可能影响对投标公正评审的；</w:t>
      </w:r>
    </w:p>
    <w:p w14:paraId="217E814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(4）曾因在招标、评标以及其他与招标投标有关活动中从事违法行为而受过行政处罚或刑事处罚的。</w:t>
      </w:r>
    </w:p>
    <w:p w14:paraId="4059F82E">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6.2 评标原则</w:t>
      </w:r>
    </w:p>
    <w:p w14:paraId="053AAD4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评标活动遵循公平、公正、科学和择优的原则。</w:t>
      </w:r>
    </w:p>
    <w:p w14:paraId="2F620F89">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6.3 评标</w:t>
      </w:r>
    </w:p>
    <w:p w14:paraId="698AC3F4">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评标委员会按照第三章“评标办法”规定的方法、评审因素、标准和程序对投标文件进行评审。第三章“评标办法”没有规定的方法、评审因素和标准，不作为评标依据。</w:t>
      </w:r>
    </w:p>
    <w:p w14:paraId="473DA94D">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7．合同授予</w:t>
      </w:r>
    </w:p>
    <w:p w14:paraId="0F841043">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7.1 定标方式</w:t>
      </w:r>
    </w:p>
    <w:p w14:paraId="72DB62B6">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除投标人须知前附表规定评标委员会直接确定中标人外，招标人依据评标委员会推荐的中标候选人确定中标人，评标委员会推荐中标候选人的人数见投标人须知前附表。</w:t>
      </w:r>
    </w:p>
    <w:p w14:paraId="07AF22CF">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7.2 中标通知</w:t>
      </w:r>
    </w:p>
    <w:p w14:paraId="738B5EF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在本章第3.3 款规定的投标有效期内，招标人以书面形式向中标人发出中标通知书，同时将中标结果通知未中标的投标人。</w:t>
      </w:r>
    </w:p>
    <w:p w14:paraId="389CC07C">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7.3 履约担保</w:t>
      </w:r>
    </w:p>
    <w:p w14:paraId="2136F5A3">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2EA8A36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7.3.2 中标人不能按本章第7.3.1 项要求提交履约担保的，视为放弃中标，其投标保证金不予退还，给招标人造成的损失超过投标保证金数额的，中标人还应当对超过部分予以赔偿。</w:t>
      </w:r>
    </w:p>
    <w:p w14:paraId="0B8CDB6D">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7.4 签订合同</w:t>
      </w:r>
    </w:p>
    <w:p w14:paraId="7EF2632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3E0E2311">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7.4.2 发出中标通知书后，招标人无正当理由拒签合同的，招标人向中标人退还投标保证金；给中标人造成损失的，还应当赔偿损失。</w:t>
      </w:r>
    </w:p>
    <w:p w14:paraId="2487B20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7.4.3 签订合同</w:t>
      </w:r>
    </w:p>
    <w:p w14:paraId="0C865250">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8．重新招标和不再招标</w:t>
      </w:r>
    </w:p>
    <w:p w14:paraId="12CC4BEE">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8.1 重新招标</w:t>
      </w:r>
    </w:p>
    <w:p w14:paraId="74B1989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有下列情形之一的，招标人将重新招标：</w:t>
      </w:r>
    </w:p>
    <w:p w14:paraId="0C549280">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(l）投标截止时间止，投标人少于3 个的；</w:t>
      </w:r>
    </w:p>
    <w:p w14:paraId="55D94C7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(2）经评标委员会评审后否决所有投标的。</w:t>
      </w:r>
    </w:p>
    <w:p w14:paraId="69E7EECC">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8.2 不再招标</w:t>
      </w:r>
    </w:p>
    <w:p w14:paraId="7D8AF975">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重新招标后投标人仍少于3 个或者所有投标被否决的，属于必须审批或核准的工程建设项目，经原审批或核准部门批准后不再进行招标。</w:t>
      </w:r>
    </w:p>
    <w:p w14:paraId="39FA2095">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9．纪律和监督</w:t>
      </w:r>
    </w:p>
    <w:p w14:paraId="0CF32D07">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9.1 对招标人的纪律要求</w:t>
      </w:r>
    </w:p>
    <w:p w14:paraId="7434FC3C">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招标人不得泄漏招标投标活动中应当保密的情况和资料，不得与投标人串通损害国家利益、社会公共利益或者他人合法权益。</w:t>
      </w:r>
    </w:p>
    <w:p w14:paraId="3D9A32EF">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9.2 对投标人的纪律要求</w:t>
      </w:r>
    </w:p>
    <w:p w14:paraId="73DF70F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26F6672">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9.3 对评标委员会成员的纪律要求</w:t>
      </w:r>
    </w:p>
    <w:p w14:paraId="79556369">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10D483F2">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9.4 对与评标活动有关的工作人员的纪律要求</w:t>
      </w:r>
    </w:p>
    <w:p w14:paraId="4D25A4C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069DE68A">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9.5 投诉</w:t>
      </w:r>
    </w:p>
    <w:p w14:paraId="1902870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投标人和其他利害关系人认为本次招标活动违反法律、法规和规章规定的，有权向有关行政监督部门投诉。</w:t>
      </w:r>
    </w:p>
    <w:p w14:paraId="002EF4CF">
      <w:pPr>
        <w:pStyle w:val="20"/>
        <w:rPr>
          <w:rFonts w:hint="default" w:eastAsia="宋体"/>
          <w:highlight w:val="none"/>
          <w:lang w:val="en-US" w:eastAsia="zh-CN"/>
        </w:rPr>
      </w:pPr>
      <w:r>
        <w:rPr>
          <w:rFonts w:hint="eastAsia" w:ascii="宋体" w:hAnsi="宋体" w:cs="宋体"/>
          <w:sz w:val="24"/>
          <w:szCs w:val="24"/>
          <w:highlight w:val="none"/>
          <w:lang w:val="en-US" w:eastAsia="zh-CN"/>
        </w:rPr>
        <w:t>监督部门的联系方式见投标人须知前附表。</w:t>
      </w:r>
    </w:p>
    <w:p w14:paraId="3A6D6F87">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10、需要补充的其他内容</w:t>
      </w:r>
    </w:p>
    <w:p w14:paraId="543A5D25">
      <w:pPr>
        <w:adjustRightInd w:val="0"/>
        <w:snapToGrid w:val="0"/>
        <w:spacing w:line="360" w:lineRule="auto"/>
        <w:ind w:firstLine="480" w:firstLineChars="200"/>
        <w:rPr>
          <w:rFonts w:eastAsia="黑体"/>
          <w:sz w:val="36"/>
          <w:szCs w:val="36"/>
          <w:highlight w:val="none"/>
        </w:rPr>
      </w:pPr>
      <w:r>
        <w:rPr>
          <w:rFonts w:hint="eastAsia" w:ascii="宋体" w:hAnsi="宋体" w:cs="宋体"/>
          <w:sz w:val="24"/>
          <w:szCs w:val="24"/>
          <w:highlight w:val="none"/>
        </w:rPr>
        <w:t>需要补充的其他内容：见投标人须知前附表。</w:t>
      </w:r>
      <w:bookmarkEnd w:id="31"/>
      <w:bookmarkEnd w:id="32"/>
      <w:bookmarkStart w:id="33" w:name="_Toc152045598"/>
      <w:bookmarkStart w:id="34" w:name="_Toc179632616"/>
      <w:bookmarkStart w:id="35" w:name="_Toc238559186"/>
      <w:bookmarkStart w:id="36" w:name="_Toc152042375"/>
      <w:bookmarkStart w:id="37" w:name="_Toc460366498"/>
      <w:bookmarkStart w:id="38" w:name="_Toc1776"/>
      <w:bookmarkStart w:id="39" w:name="_Toc144974565"/>
      <w:bookmarkStart w:id="40" w:name="_Toc508615694"/>
      <w:bookmarkStart w:id="41" w:name="_Toc234744445"/>
      <w:bookmarkStart w:id="42" w:name="_Toc18877"/>
      <w:bookmarkStart w:id="43" w:name="_Toc234675077"/>
      <w:r>
        <w:rPr>
          <w:rFonts w:eastAsia="黑体"/>
          <w:sz w:val="36"/>
          <w:szCs w:val="36"/>
          <w:highlight w:val="none"/>
        </w:rPr>
        <w:br w:type="page"/>
      </w:r>
    </w:p>
    <w:p w14:paraId="621D9CDF">
      <w:pPr>
        <w:pStyle w:val="2"/>
        <w:spacing w:before="120" w:beforeLines="50" w:after="120" w:afterLines="50" w:line="240" w:lineRule="auto"/>
        <w:jc w:val="center"/>
        <w:rPr>
          <w:rFonts w:eastAsia="黑体"/>
          <w:b w:val="0"/>
          <w:bCs w:val="0"/>
          <w:color w:val="000000"/>
          <w:sz w:val="36"/>
          <w:szCs w:val="36"/>
          <w:highlight w:val="none"/>
        </w:rPr>
      </w:pPr>
      <w:r>
        <w:rPr>
          <w:rFonts w:eastAsia="黑体"/>
          <w:b w:val="0"/>
          <w:bCs w:val="0"/>
          <w:sz w:val="36"/>
          <w:szCs w:val="36"/>
          <w:highlight w:val="none"/>
        </w:rPr>
        <w:t>第三章</w:t>
      </w:r>
      <w:bookmarkEnd w:id="33"/>
      <w:bookmarkEnd w:id="34"/>
      <w:bookmarkEnd w:id="35"/>
      <w:bookmarkEnd w:id="36"/>
      <w:bookmarkEnd w:id="37"/>
      <w:bookmarkEnd w:id="38"/>
      <w:bookmarkEnd w:id="39"/>
      <w:bookmarkEnd w:id="40"/>
      <w:bookmarkEnd w:id="41"/>
      <w:bookmarkEnd w:id="42"/>
      <w:bookmarkEnd w:id="43"/>
      <w:r>
        <w:rPr>
          <w:rFonts w:eastAsia="黑体"/>
          <w:b w:val="0"/>
          <w:bCs w:val="0"/>
          <w:color w:val="000000"/>
          <w:sz w:val="36"/>
          <w:szCs w:val="36"/>
          <w:highlight w:val="none"/>
        </w:rPr>
        <w:t>评标办法</w:t>
      </w:r>
      <w:r>
        <w:rPr>
          <w:rFonts w:hint="eastAsia" w:eastAsia="黑体"/>
          <w:b w:val="0"/>
          <w:bCs w:val="0"/>
          <w:color w:val="000000"/>
          <w:sz w:val="36"/>
          <w:szCs w:val="36"/>
          <w:highlight w:val="none"/>
        </w:rPr>
        <w:t>（综合评估法）</w:t>
      </w:r>
    </w:p>
    <w:p w14:paraId="31A3CBFC">
      <w:pPr>
        <w:pStyle w:val="154"/>
        <w:spacing w:before="36" w:after="120" w:afterLines="50"/>
        <w:ind w:left="-3" w:leftChars="-84" w:hanging="173" w:hangingChars="62"/>
        <w:rPr>
          <w:rFonts w:hint="eastAsia" w:ascii="宋体" w:hAnsi="宋体" w:eastAsia="宋体"/>
          <w:highlight w:val="none"/>
        </w:rPr>
      </w:pPr>
      <w:bookmarkStart w:id="44" w:name="_Toc12451"/>
      <w:bookmarkStart w:id="45" w:name="_Toc238559187"/>
      <w:bookmarkStart w:id="46" w:name="_Toc234675078"/>
      <w:bookmarkStart w:id="47" w:name="_Toc508615695"/>
      <w:bookmarkStart w:id="48" w:name="_Toc152045599"/>
      <w:bookmarkStart w:id="49" w:name="_Toc152042376"/>
      <w:bookmarkStart w:id="50" w:name="_Toc343687638"/>
      <w:bookmarkStart w:id="51" w:name="_Toc25706"/>
      <w:bookmarkStart w:id="52" w:name="_Toc234744446"/>
      <w:bookmarkStart w:id="53" w:name="_Toc144974566"/>
      <w:bookmarkStart w:id="54" w:name="_Toc179632617"/>
      <w:bookmarkStart w:id="55" w:name="_Toc460366499"/>
      <w:bookmarkStart w:id="56" w:name="_Hlk172061463"/>
      <w:bookmarkStart w:id="57" w:name="_Toc152045609"/>
      <w:bookmarkStart w:id="58" w:name="_Toc152042387"/>
      <w:bookmarkStart w:id="59" w:name="_Toc144974577"/>
      <w:bookmarkStart w:id="60" w:name="_Toc179632627"/>
      <w:bookmarkStart w:id="61" w:name="_Toc15846"/>
      <w:r>
        <w:rPr>
          <w:rFonts w:hint="eastAsia" w:ascii="宋体" w:hAnsi="宋体" w:eastAsia="宋体"/>
          <w:highlight w:val="none"/>
        </w:rPr>
        <w:t>评标办法前附表</w:t>
      </w:r>
      <w:bookmarkEnd w:id="44"/>
      <w:bookmarkEnd w:id="45"/>
      <w:bookmarkEnd w:id="46"/>
      <w:bookmarkEnd w:id="47"/>
      <w:bookmarkEnd w:id="48"/>
      <w:bookmarkEnd w:id="49"/>
      <w:bookmarkEnd w:id="50"/>
      <w:bookmarkEnd w:id="51"/>
      <w:bookmarkEnd w:id="52"/>
      <w:bookmarkEnd w:id="53"/>
      <w:bookmarkEnd w:id="54"/>
      <w:bookmarkEnd w:id="55"/>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61"/>
        <w:gridCol w:w="1846"/>
        <w:gridCol w:w="6338"/>
      </w:tblGrid>
      <w:tr w14:paraId="72CF2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trPr>
        <w:tc>
          <w:tcPr>
            <w:tcW w:w="854" w:type="pct"/>
            <w:gridSpan w:val="2"/>
            <w:vAlign w:val="center"/>
          </w:tcPr>
          <w:p w14:paraId="427C6975">
            <w:pPr>
              <w:adjustRightInd w:val="0"/>
              <w:jc w:val="center"/>
              <w:textAlignment w:val="baseline"/>
              <w:rPr>
                <w:rFonts w:hint="eastAsia" w:ascii="宋体" w:hAnsi="宋体" w:cs="宋体"/>
                <w:b/>
                <w:highlight w:val="none"/>
              </w:rPr>
            </w:pPr>
            <w:r>
              <w:rPr>
                <w:rFonts w:hint="eastAsia" w:ascii="宋体" w:hAnsi="宋体" w:cs="宋体"/>
                <w:b/>
                <w:highlight w:val="none"/>
              </w:rPr>
              <w:t>条款号</w:t>
            </w:r>
          </w:p>
        </w:tc>
        <w:tc>
          <w:tcPr>
            <w:tcW w:w="4145" w:type="pct"/>
            <w:gridSpan w:val="2"/>
            <w:vAlign w:val="center"/>
          </w:tcPr>
          <w:p w14:paraId="5BDBAD2E">
            <w:pPr>
              <w:adjustRightInd w:val="0"/>
              <w:jc w:val="center"/>
              <w:textAlignment w:val="baseline"/>
              <w:rPr>
                <w:rFonts w:hint="eastAsia" w:ascii="宋体" w:hAnsi="宋体" w:cs="宋体"/>
                <w:b/>
                <w:highlight w:val="none"/>
              </w:rPr>
            </w:pPr>
            <w:r>
              <w:rPr>
                <w:rFonts w:hint="eastAsia" w:ascii="宋体" w:hAnsi="宋体" w:cs="宋体"/>
                <w:b/>
                <w:highlight w:val="none"/>
              </w:rPr>
              <w:t>评审因素和评审标准</w:t>
            </w:r>
          </w:p>
        </w:tc>
      </w:tr>
      <w:tr w14:paraId="7E8C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418" w:type="pct"/>
            <w:vAlign w:val="center"/>
          </w:tcPr>
          <w:p w14:paraId="34C834CE">
            <w:pPr>
              <w:jc w:val="center"/>
              <w:rPr>
                <w:rFonts w:hint="eastAsia" w:ascii="宋体" w:hAnsi="宋体" w:cs="宋体"/>
                <w:highlight w:val="none"/>
              </w:rPr>
            </w:pPr>
            <w:r>
              <w:rPr>
                <w:rFonts w:hint="eastAsia" w:ascii="宋体" w:hAnsi="宋体" w:cs="宋体"/>
                <w:highlight w:val="none"/>
              </w:rPr>
              <w:t>1</w:t>
            </w:r>
          </w:p>
        </w:tc>
        <w:tc>
          <w:tcPr>
            <w:tcW w:w="436" w:type="pct"/>
            <w:vAlign w:val="center"/>
          </w:tcPr>
          <w:p w14:paraId="11188491">
            <w:pPr>
              <w:snapToGrid w:val="0"/>
              <w:rPr>
                <w:rFonts w:hint="eastAsia" w:ascii="宋体" w:hAnsi="宋体" w:cs="宋体"/>
                <w:b/>
                <w:bCs/>
                <w:highlight w:val="none"/>
              </w:rPr>
            </w:pPr>
            <w:r>
              <w:rPr>
                <w:rFonts w:hint="eastAsia" w:ascii="宋体" w:hAnsi="宋体" w:cs="宋体"/>
                <w:b/>
                <w:bCs/>
                <w:highlight w:val="none"/>
              </w:rPr>
              <w:t>评标方法</w:t>
            </w:r>
          </w:p>
        </w:tc>
        <w:tc>
          <w:tcPr>
            <w:tcW w:w="4145" w:type="pct"/>
            <w:gridSpan w:val="2"/>
          </w:tcPr>
          <w:p w14:paraId="1978DDF1">
            <w:pPr>
              <w:snapToGrid w:val="0"/>
              <w:rPr>
                <w:rFonts w:hint="eastAsia" w:ascii="宋体" w:hAnsi="宋体" w:cs="宋体"/>
                <w:b/>
                <w:bCs/>
                <w:highlight w:val="none"/>
              </w:rPr>
            </w:pPr>
            <w:r>
              <w:rPr>
                <w:rFonts w:hint="eastAsia" w:ascii="宋体" w:hAnsi="宋体" w:cs="宋体"/>
                <w:b/>
                <w:bCs/>
                <w:highlight w:val="none"/>
              </w:rPr>
              <w:t>1、综合评分相等时，评标委员会依次按照以下优先顺序推荐中标候选人或确定中标人：</w:t>
            </w:r>
          </w:p>
          <w:p w14:paraId="04298488">
            <w:pPr>
              <w:snapToGrid w:val="0"/>
              <w:rPr>
                <w:rFonts w:hint="eastAsia" w:ascii="宋体" w:hAnsi="宋体" w:cs="宋体"/>
                <w:b/>
                <w:bCs/>
                <w:highlight w:val="none"/>
              </w:rPr>
            </w:pPr>
            <w:r>
              <w:rPr>
                <w:rFonts w:hint="eastAsia" w:ascii="宋体" w:hAnsi="宋体" w:cs="宋体"/>
                <w:b/>
                <w:bCs/>
                <w:highlight w:val="none"/>
              </w:rPr>
              <w:t>（1）评标价低的投标人优先；</w:t>
            </w:r>
          </w:p>
          <w:p w14:paraId="745EA909">
            <w:pPr>
              <w:snapToGrid w:val="0"/>
              <w:rPr>
                <w:rFonts w:hint="eastAsia" w:ascii="宋体" w:hAnsi="宋体" w:cs="宋体"/>
                <w:b/>
                <w:bCs/>
                <w:highlight w:val="none"/>
              </w:rPr>
            </w:pPr>
            <w:r>
              <w:rPr>
                <w:rFonts w:hint="eastAsia" w:ascii="宋体" w:hAnsi="宋体" w:cs="宋体"/>
                <w:b/>
                <w:bCs/>
                <w:highlight w:val="none"/>
              </w:rPr>
              <w:t>（2）</w:t>
            </w:r>
            <w:bookmarkStart w:id="62" w:name="_Hlk50022817"/>
            <w:r>
              <w:rPr>
                <w:rFonts w:hint="eastAsia" w:ascii="宋体" w:hAnsi="宋体" w:cs="宋体"/>
                <w:b/>
                <w:bCs/>
                <w:highlight w:val="none"/>
              </w:rPr>
              <w:t>最近一期被列入“江苏省交通运输守信联合激励对象名单”（红名单）的投标人</w:t>
            </w:r>
            <w:bookmarkEnd w:id="62"/>
            <w:r>
              <w:rPr>
                <w:rFonts w:hint="eastAsia" w:ascii="宋体" w:hAnsi="宋体" w:cs="宋体"/>
                <w:b/>
                <w:bCs/>
                <w:highlight w:val="none"/>
              </w:rPr>
              <w:t>优先；</w:t>
            </w:r>
          </w:p>
          <w:p w14:paraId="1C88F300">
            <w:pPr>
              <w:snapToGrid w:val="0"/>
              <w:rPr>
                <w:rFonts w:hint="eastAsia" w:ascii="宋体" w:hAnsi="宋体" w:cs="宋体"/>
                <w:b/>
                <w:bCs/>
                <w:highlight w:val="none"/>
              </w:rPr>
            </w:pPr>
            <w:r>
              <w:rPr>
                <w:rFonts w:hint="eastAsia" w:ascii="宋体" w:hAnsi="宋体" w:cs="宋体"/>
                <w:b/>
                <w:bCs/>
                <w:highlight w:val="none"/>
              </w:rPr>
              <w:t>（3）最近一期被江苏省交通运输主管部门信用评价得分较高的投标人优先；</w:t>
            </w:r>
          </w:p>
          <w:p w14:paraId="070DA813">
            <w:pPr>
              <w:snapToGrid w:val="0"/>
              <w:rPr>
                <w:rFonts w:hint="eastAsia" w:ascii="宋体" w:hAnsi="宋体" w:cs="宋体"/>
                <w:b/>
                <w:bCs/>
                <w:highlight w:val="none"/>
              </w:rPr>
            </w:pPr>
            <w:r>
              <w:rPr>
                <w:rFonts w:hint="eastAsia" w:ascii="宋体" w:hAnsi="宋体" w:cs="宋体"/>
                <w:b/>
                <w:bCs/>
                <w:highlight w:val="none"/>
              </w:rPr>
              <w:t>（4）评标委员会全体成员记名票决推荐中标候选人。</w:t>
            </w:r>
          </w:p>
          <w:p w14:paraId="55A25C21">
            <w:pPr>
              <w:snapToGrid w:val="0"/>
              <w:rPr>
                <w:highlight w:val="none"/>
              </w:rPr>
            </w:pPr>
            <w:r>
              <w:rPr>
                <w:rFonts w:hint="eastAsia" w:ascii="宋体" w:hAnsi="宋体" w:cs="宋体"/>
                <w:b/>
                <w:bCs/>
                <w:highlight w:val="none"/>
              </w:rPr>
              <w:t>（上述红名单和信用评定得分均以投标截止之日查询结果为准。信用类别：</w:t>
            </w:r>
            <w:r>
              <w:rPr>
                <w:rFonts w:hint="eastAsia" w:ascii="宋体" w:hAnsi="宋体" w:cs="宋体"/>
                <w:b/>
                <w:bCs/>
                <w:highlight w:val="none"/>
                <w:lang w:val="en-US" w:eastAsia="zh-CN"/>
              </w:rPr>
              <w:t>施工</w:t>
            </w:r>
            <w:r>
              <w:rPr>
                <w:rFonts w:hint="eastAsia" w:ascii="宋体" w:hAnsi="宋体" w:cs="宋体"/>
                <w:b/>
                <w:bCs/>
                <w:highlight w:val="none"/>
              </w:rPr>
              <w:t>。）</w:t>
            </w:r>
          </w:p>
        </w:tc>
      </w:tr>
      <w:tr w14:paraId="6484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418" w:type="pct"/>
            <w:vMerge w:val="restart"/>
            <w:vAlign w:val="center"/>
          </w:tcPr>
          <w:p w14:paraId="66DC225A">
            <w:pPr>
              <w:adjustRightInd w:val="0"/>
              <w:jc w:val="center"/>
              <w:textAlignment w:val="baseline"/>
              <w:rPr>
                <w:rFonts w:hint="eastAsia" w:ascii="宋体" w:hAnsi="宋体" w:cs="宋体"/>
                <w:highlight w:val="none"/>
              </w:rPr>
            </w:pPr>
            <w:r>
              <w:rPr>
                <w:rFonts w:hint="eastAsia" w:ascii="宋体" w:hAnsi="宋体" w:cs="宋体"/>
                <w:highlight w:val="none"/>
              </w:rPr>
              <w:t>2.1.1</w:t>
            </w:r>
          </w:p>
          <w:p w14:paraId="03632791">
            <w:pPr>
              <w:adjustRightInd w:val="0"/>
              <w:jc w:val="center"/>
              <w:textAlignment w:val="baseline"/>
              <w:rPr>
                <w:rFonts w:hint="eastAsia" w:ascii="宋体" w:hAnsi="宋体" w:cs="宋体"/>
                <w:sz w:val="28"/>
                <w:szCs w:val="28"/>
                <w:highlight w:val="none"/>
              </w:rPr>
            </w:pPr>
            <w:r>
              <w:rPr>
                <w:rFonts w:hint="eastAsia" w:ascii="宋体" w:hAnsi="宋体" w:cs="宋体"/>
                <w:highlight w:val="none"/>
              </w:rPr>
              <w:t>2.1.3</w:t>
            </w:r>
          </w:p>
        </w:tc>
        <w:tc>
          <w:tcPr>
            <w:tcW w:w="436" w:type="pct"/>
            <w:vMerge w:val="restart"/>
            <w:vAlign w:val="center"/>
          </w:tcPr>
          <w:p w14:paraId="5BF40B7F">
            <w:pPr>
              <w:adjustRightInd w:val="0"/>
              <w:textAlignment w:val="baseline"/>
              <w:rPr>
                <w:rFonts w:hint="eastAsia" w:ascii="宋体" w:hAnsi="宋体" w:cs="宋体"/>
                <w:highlight w:val="none"/>
              </w:rPr>
            </w:pPr>
            <w:r>
              <w:rPr>
                <w:rFonts w:hint="eastAsia" w:ascii="宋体" w:hAnsi="宋体" w:cs="宋体"/>
                <w:bCs/>
                <w:highlight w:val="none"/>
              </w:rPr>
              <w:t>投标文件第一个信封形式评审与响应性评审标准</w:t>
            </w:r>
          </w:p>
        </w:tc>
        <w:tc>
          <w:tcPr>
            <w:tcW w:w="935" w:type="pct"/>
            <w:vAlign w:val="center"/>
          </w:tcPr>
          <w:p w14:paraId="36225F8A">
            <w:pPr>
              <w:pStyle w:val="264"/>
              <w:spacing w:before="75"/>
              <w:ind w:left="10" w:right="192"/>
              <w:jc w:val="center"/>
              <w:rPr>
                <w:rFonts w:hint="eastAsia"/>
                <w:b/>
                <w:bCs/>
                <w:sz w:val="21"/>
                <w:szCs w:val="21"/>
                <w:highlight w:val="none"/>
              </w:rPr>
            </w:pPr>
            <w:r>
              <w:rPr>
                <w:rFonts w:hint="eastAsia"/>
                <w:b/>
                <w:bCs/>
                <w:sz w:val="21"/>
                <w:szCs w:val="21"/>
                <w:highlight w:val="none"/>
              </w:rPr>
              <w:t>投标文件格式</w:t>
            </w:r>
          </w:p>
        </w:tc>
        <w:tc>
          <w:tcPr>
            <w:tcW w:w="3210" w:type="pct"/>
          </w:tcPr>
          <w:p w14:paraId="71FD2364">
            <w:pPr>
              <w:pStyle w:val="264"/>
              <w:snapToGrid w:val="0"/>
              <w:ind w:left="11" w:right="193"/>
              <w:rPr>
                <w:rFonts w:hint="eastAsia"/>
                <w:b/>
                <w:bCs/>
                <w:sz w:val="21"/>
                <w:szCs w:val="21"/>
                <w:highlight w:val="none"/>
              </w:rPr>
            </w:pPr>
            <w:r>
              <w:rPr>
                <w:rFonts w:hint="eastAsia"/>
                <w:b/>
                <w:bCs/>
                <w:sz w:val="21"/>
                <w:szCs w:val="21"/>
                <w:highlight w:val="none"/>
              </w:rPr>
              <w:t>投标文件按照招标文件规定的格式、内容填写，字迹清晰可辨：</w:t>
            </w:r>
          </w:p>
          <w:p w14:paraId="53F51226">
            <w:pPr>
              <w:pStyle w:val="264"/>
              <w:snapToGrid w:val="0"/>
              <w:ind w:left="11" w:right="193"/>
              <w:rPr>
                <w:rFonts w:hint="eastAsia"/>
                <w:b/>
                <w:bCs/>
                <w:sz w:val="21"/>
                <w:szCs w:val="21"/>
                <w:highlight w:val="none"/>
              </w:rPr>
            </w:pPr>
            <w:r>
              <w:rPr>
                <w:rFonts w:hint="eastAsia"/>
                <w:b/>
                <w:bCs/>
                <w:sz w:val="21"/>
                <w:szCs w:val="21"/>
                <w:highlight w:val="none"/>
                <w:lang w:val="en-US"/>
              </w:rPr>
              <w:t>a、</w:t>
            </w:r>
            <w:r>
              <w:rPr>
                <w:rFonts w:hint="eastAsia"/>
                <w:b/>
                <w:bCs/>
                <w:sz w:val="21"/>
                <w:szCs w:val="21"/>
                <w:highlight w:val="none"/>
              </w:rPr>
              <w:t>投标函按招标文件规定填报了项目名称、标段号、补遗书编号（如有）、工期、工程质量要求及安全目标；</w:t>
            </w:r>
          </w:p>
          <w:p w14:paraId="49C8D81E">
            <w:pPr>
              <w:pStyle w:val="264"/>
              <w:snapToGrid w:val="0"/>
              <w:ind w:left="11" w:right="193"/>
              <w:rPr>
                <w:rFonts w:hint="eastAsia"/>
                <w:b/>
                <w:bCs/>
                <w:sz w:val="21"/>
                <w:szCs w:val="21"/>
                <w:highlight w:val="none"/>
              </w:rPr>
            </w:pPr>
            <w:r>
              <w:rPr>
                <w:rFonts w:hint="eastAsia"/>
                <w:b/>
                <w:bCs/>
                <w:sz w:val="21"/>
                <w:szCs w:val="21"/>
                <w:highlight w:val="none"/>
                <w:lang w:val="en-US"/>
              </w:rPr>
              <w:t>b</w:t>
            </w:r>
            <w:r>
              <w:rPr>
                <w:rFonts w:hint="eastAsia"/>
                <w:b/>
                <w:bCs/>
                <w:sz w:val="21"/>
                <w:szCs w:val="21"/>
                <w:highlight w:val="none"/>
              </w:rPr>
              <w:t>、投标文件组成齐全完整，内容均按规定填写;</w:t>
            </w:r>
          </w:p>
        </w:tc>
      </w:tr>
      <w:tr w14:paraId="7CC3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8079B1C">
            <w:pPr>
              <w:adjustRightInd w:val="0"/>
              <w:textAlignment w:val="baseline"/>
              <w:rPr>
                <w:rFonts w:hint="eastAsia" w:ascii="宋体" w:hAnsi="宋体" w:cs="宋体"/>
                <w:highlight w:val="none"/>
              </w:rPr>
            </w:pPr>
          </w:p>
        </w:tc>
        <w:tc>
          <w:tcPr>
            <w:tcW w:w="436" w:type="pct"/>
            <w:vMerge w:val="continue"/>
            <w:vAlign w:val="center"/>
          </w:tcPr>
          <w:p w14:paraId="6E4D3664">
            <w:pPr>
              <w:adjustRightInd w:val="0"/>
              <w:textAlignment w:val="baseline"/>
              <w:rPr>
                <w:rFonts w:hint="eastAsia" w:ascii="宋体" w:hAnsi="宋体" w:cs="宋体"/>
                <w:highlight w:val="none"/>
              </w:rPr>
            </w:pPr>
          </w:p>
        </w:tc>
        <w:tc>
          <w:tcPr>
            <w:tcW w:w="935" w:type="pct"/>
            <w:vAlign w:val="center"/>
          </w:tcPr>
          <w:p w14:paraId="3148417F">
            <w:pPr>
              <w:pStyle w:val="264"/>
              <w:spacing w:before="75"/>
              <w:ind w:left="10" w:right="192"/>
              <w:jc w:val="center"/>
              <w:rPr>
                <w:rFonts w:hint="eastAsia"/>
                <w:b/>
                <w:bCs/>
                <w:sz w:val="21"/>
                <w:szCs w:val="21"/>
                <w:highlight w:val="none"/>
              </w:rPr>
            </w:pPr>
            <w:r>
              <w:rPr>
                <w:rFonts w:hint="eastAsia"/>
                <w:b/>
                <w:bCs/>
                <w:sz w:val="21"/>
                <w:szCs w:val="21"/>
                <w:highlight w:val="none"/>
              </w:rPr>
              <w:t>签字、盖章</w:t>
            </w:r>
          </w:p>
        </w:tc>
        <w:tc>
          <w:tcPr>
            <w:tcW w:w="3210" w:type="pct"/>
          </w:tcPr>
          <w:p w14:paraId="4BFF55F4">
            <w:pPr>
              <w:pStyle w:val="264"/>
              <w:snapToGrid w:val="0"/>
              <w:ind w:left="11" w:right="193"/>
              <w:rPr>
                <w:rFonts w:hint="eastAsia"/>
                <w:b/>
                <w:bCs/>
                <w:sz w:val="21"/>
                <w:szCs w:val="21"/>
                <w:highlight w:val="none"/>
              </w:rPr>
            </w:pPr>
            <w:r>
              <w:rPr>
                <w:rFonts w:hint="eastAsia"/>
                <w:b/>
                <w:bCs/>
                <w:sz w:val="21"/>
                <w:szCs w:val="21"/>
                <w:highlight w:val="none"/>
              </w:rPr>
              <w:t>投标文件上相关人员的签字</w:t>
            </w:r>
            <w:r>
              <w:rPr>
                <w:rFonts w:hint="eastAsia"/>
                <w:b/>
                <w:bCs/>
                <w:sz w:val="21"/>
                <w:szCs w:val="21"/>
                <w:highlight w:val="none"/>
                <w:lang w:eastAsia="zh-CN"/>
              </w:rPr>
              <w:t>（</w:t>
            </w:r>
            <w:r>
              <w:rPr>
                <w:rFonts w:hint="eastAsia"/>
                <w:b/>
                <w:bCs/>
                <w:sz w:val="21"/>
                <w:szCs w:val="21"/>
                <w:highlight w:val="none"/>
                <w:lang w:val="en-US" w:eastAsia="zh-CN"/>
              </w:rPr>
              <w:t>盖章</w:t>
            </w:r>
            <w:r>
              <w:rPr>
                <w:rFonts w:hint="eastAsia"/>
                <w:b/>
                <w:bCs/>
                <w:sz w:val="21"/>
                <w:szCs w:val="21"/>
                <w:highlight w:val="none"/>
                <w:lang w:eastAsia="zh-CN"/>
              </w:rPr>
              <w:t>）</w:t>
            </w:r>
            <w:r>
              <w:rPr>
                <w:rFonts w:hint="eastAsia"/>
                <w:b/>
                <w:bCs/>
                <w:sz w:val="21"/>
                <w:szCs w:val="21"/>
                <w:highlight w:val="none"/>
              </w:rPr>
              <w:t>、投标人的单位章盖章齐全，符合招标文件规定。</w:t>
            </w:r>
          </w:p>
        </w:tc>
      </w:tr>
      <w:tr w14:paraId="55FB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5E9AC1D9">
            <w:pPr>
              <w:adjustRightInd w:val="0"/>
              <w:textAlignment w:val="baseline"/>
              <w:rPr>
                <w:rFonts w:hint="eastAsia" w:ascii="宋体" w:hAnsi="宋体" w:cs="宋体"/>
                <w:b/>
                <w:highlight w:val="none"/>
              </w:rPr>
            </w:pPr>
          </w:p>
        </w:tc>
        <w:tc>
          <w:tcPr>
            <w:tcW w:w="436" w:type="pct"/>
            <w:vMerge w:val="continue"/>
            <w:vAlign w:val="center"/>
          </w:tcPr>
          <w:p w14:paraId="433767F4">
            <w:pPr>
              <w:adjustRightInd w:val="0"/>
              <w:textAlignment w:val="baseline"/>
              <w:rPr>
                <w:rFonts w:hint="eastAsia" w:ascii="宋体" w:hAnsi="宋体" w:cs="宋体"/>
                <w:b/>
                <w:highlight w:val="none"/>
              </w:rPr>
            </w:pPr>
          </w:p>
        </w:tc>
        <w:tc>
          <w:tcPr>
            <w:tcW w:w="935" w:type="pct"/>
            <w:vAlign w:val="center"/>
          </w:tcPr>
          <w:p w14:paraId="0DE7D07D">
            <w:pPr>
              <w:pStyle w:val="264"/>
              <w:spacing w:before="75"/>
              <w:ind w:left="10" w:right="192"/>
              <w:jc w:val="center"/>
              <w:rPr>
                <w:rFonts w:hint="eastAsia"/>
                <w:b/>
                <w:bCs/>
                <w:sz w:val="21"/>
                <w:szCs w:val="21"/>
                <w:highlight w:val="none"/>
              </w:rPr>
            </w:pPr>
            <w:r>
              <w:rPr>
                <w:rFonts w:hint="eastAsia"/>
                <w:b/>
                <w:bCs/>
                <w:sz w:val="21"/>
                <w:szCs w:val="21"/>
                <w:highlight w:val="none"/>
              </w:rPr>
              <w:t>投标担保</w:t>
            </w:r>
          </w:p>
        </w:tc>
        <w:tc>
          <w:tcPr>
            <w:tcW w:w="3210" w:type="pct"/>
          </w:tcPr>
          <w:p w14:paraId="2A3F0174">
            <w:pPr>
              <w:pStyle w:val="264"/>
              <w:snapToGrid w:val="0"/>
              <w:ind w:left="11" w:right="193"/>
              <w:rPr>
                <w:rFonts w:hint="eastAsia"/>
                <w:b/>
                <w:bCs/>
                <w:sz w:val="21"/>
                <w:szCs w:val="21"/>
                <w:highlight w:val="none"/>
              </w:rPr>
            </w:pPr>
            <w:r>
              <w:rPr>
                <w:rFonts w:hint="eastAsia"/>
                <w:b/>
                <w:bCs/>
                <w:sz w:val="21"/>
                <w:szCs w:val="21"/>
                <w:highlight w:val="none"/>
              </w:rPr>
              <w:t>投标人按照招标文件规定的金额、形式、时效和内容提供了投标担保。</w:t>
            </w:r>
          </w:p>
        </w:tc>
      </w:tr>
      <w:tr w14:paraId="7E56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2D36BE25">
            <w:pPr>
              <w:adjustRightInd w:val="0"/>
              <w:textAlignment w:val="baseline"/>
              <w:rPr>
                <w:rFonts w:hint="eastAsia" w:ascii="宋体" w:hAnsi="宋体" w:cs="宋体"/>
                <w:b/>
                <w:highlight w:val="none"/>
              </w:rPr>
            </w:pPr>
          </w:p>
        </w:tc>
        <w:tc>
          <w:tcPr>
            <w:tcW w:w="436" w:type="pct"/>
            <w:vMerge w:val="continue"/>
            <w:vAlign w:val="center"/>
          </w:tcPr>
          <w:p w14:paraId="69E5706C">
            <w:pPr>
              <w:adjustRightInd w:val="0"/>
              <w:textAlignment w:val="baseline"/>
              <w:rPr>
                <w:rFonts w:hint="eastAsia" w:ascii="宋体" w:hAnsi="宋体" w:cs="宋体"/>
                <w:b/>
                <w:highlight w:val="none"/>
              </w:rPr>
            </w:pPr>
          </w:p>
        </w:tc>
        <w:tc>
          <w:tcPr>
            <w:tcW w:w="935" w:type="pct"/>
            <w:vAlign w:val="center"/>
          </w:tcPr>
          <w:p w14:paraId="5F39F7BA">
            <w:pPr>
              <w:pStyle w:val="264"/>
              <w:spacing w:before="75"/>
              <w:ind w:left="10" w:right="192"/>
              <w:jc w:val="center"/>
              <w:rPr>
                <w:rFonts w:hint="eastAsia"/>
                <w:b/>
                <w:bCs/>
                <w:sz w:val="21"/>
                <w:szCs w:val="21"/>
                <w:highlight w:val="none"/>
              </w:rPr>
            </w:pPr>
            <w:r>
              <w:rPr>
                <w:rFonts w:hint="eastAsia"/>
                <w:b/>
                <w:bCs/>
                <w:sz w:val="21"/>
                <w:szCs w:val="21"/>
                <w:highlight w:val="none"/>
              </w:rPr>
              <w:t>授权委托书</w:t>
            </w:r>
          </w:p>
        </w:tc>
        <w:tc>
          <w:tcPr>
            <w:tcW w:w="3210" w:type="pct"/>
          </w:tcPr>
          <w:p w14:paraId="23327827">
            <w:pPr>
              <w:pStyle w:val="264"/>
              <w:snapToGrid w:val="0"/>
              <w:ind w:left="11" w:right="193"/>
              <w:rPr>
                <w:rFonts w:hint="eastAsia"/>
                <w:b/>
                <w:bCs/>
                <w:sz w:val="21"/>
                <w:szCs w:val="21"/>
                <w:highlight w:val="none"/>
              </w:rPr>
            </w:pPr>
            <w:r>
              <w:rPr>
                <w:rFonts w:hint="eastAsia"/>
                <w:b/>
                <w:bCs/>
                <w:sz w:val="21"/>
                <w:szCs w:val="21"/>
                <w:highlight w:val="none"/>
              </w:rPr>
              <w:t>投标人法定代表人授权委托代理人签署投标文件的，须提交授权委托书，且授权人和被授权人均在授权委托书上签名</w:t>
            </w:r>
            <w:r>
              <w:rPr>
                <w:rFonts w:hint="eastAsia"/>
                <w:b/>
                <w:bCs/>
                <w:sz w:val="21"/>
                <w:szCs w:val="21"/>
                <w:highlight w:val="none"/>
                <w:lang w:eastAsia="zh-CN"/>
              </w:rPr>
              <w:t>（</w:t>
            </w:r>
            <w:r>
              <w:rPr>
                <w:rFonts w:hint="eastAsia"/>
                <w:b/>
                <w:bCs/>
                <w:sz w:val="21"/>
                <w:szCs w:val="21"/>
                <w:highlight w:val="none"/>
                <w:lang w:val="en-US" w:eastAsia="zh-CN"/>
              </w:rPr>
              <w:t>盖章</w:t>
            </w:r>
            <w:r>
              <w:rPr>
                <w:rFonts w:hint="eastAsia"/>
                <w:b/>
                <w:bCs/>
                <w:sz w:val="21"/>
                <w:szCs w:val="21"/>
                <w:highlight w:val="none"/>
                <w:lang w:eastAsia="zh-CN"/>
              </w:rPr>
              <w:t>）</w:t>
            </w:r>
            <w:r>
              <w:rPr>
                <w:rFonts w:hint="eastAsia"/>
                <w:b/>
                <w:bCs/>
                <w:sz w:val="21"/>
                <w:szCs w:val="21"/>
                <w:highlight w:val="none"/>
              </w:rPr>
              <w:t>。</w:t>
            </w:r>
          </w:p>
        </w:tc>
      </w:tr>
      <w:tr w14:paraId="697B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4195A7F8">
            <w:pPr>
              <w:adjustRightInd w:val="0"/>
              <w:textAlignment w:val="baseline"/>
              <w:rPr>
                <w:rFonts w:hint="eastAsia" w:ascii="宋体" w:hAnsi="宋体" w:cs="宋体"/>
                <w:b/>
                <w:highlight w:val="none"/>
              </w:rPr>
            </w:pPr>
          </w:p>
        </w:tc>
        <w:tc>
          <w:tcPr>
            <w:tcW w:w="436" w:type="pct"/>
            <w:vMerge w:val="continue"/>
            <w:vAlign w:val="center"/>
          </w:tcPr>
          <w:p w14:paraId="3DE53CA9">
            <w:pPr>
              <w:adjustRightInd w:val="0"/>
              <w:textAlignment w:val="baseline"/>
              <w:rPr>
                <w:rFonts w:hint="eastAsia" w:ascii="宋体" w:hAnsi="宋体" w:cs="宋体"/>
                <w:b/>
                <w:highlight w:val="none"/>
              </w:rPr>
            </w:pPr>
          </w:p>
        </w:tc>
        <w:tc>
          <w:tcPr>
            <w:tcW w:w="935" w:type="pct"/>
            <w:vAlign w:val="center"/>
          </w:tcPr>
          <w:p w14:paraId="1EF4E573">
            <w:pPr>
              <w:pStyle w:val="264"/>
              <w:spacing w:before="75"/>
              <w:ind w:left="10" w:right="192"/>
              <w:jc w:val="center"/>
              <w:rPr>
                <w:rFonts w:hint="eastAsia"/>
                <w:b/>
                <w:bCs/>
                <w:sz w:val="21"/>
                <w:szCs w:val="21"/>
                <w:highlight w:val="none"/>
              </w:rPr>
            </w:pPr>
            <w:r>
              <w:rPr>
                <w:rFonts w:hint="eastAsia"/>
                <w:b/>
                <w:bCs/>
                <w:sz w:val="21"/>
                <w:szCs w:val="21"/>
                <w:highlight w:val="none"/>
              </w:rPr>
              <w:t>法定代表人</w:t>
            </w:r>
          </w:p>
          <w:p w14:paraId="680707F2">
            <w:pPr>
              <w:pStyle w:val="264"/>
              <w:spacing w:before="75"/>
              <w:ind w:left="10" w:right="192"/>
              <w:jc w:val="center"/>
              <w:rPr>
                <w:rFonts w:hint="eastAsia"/>
                <w:b/>
                <w:bCs/>
                <w:sz w:val="21"/>
                <w:szCs w:val="21"/>
                <w:highlight w:val="none"/>
              </w:rPr>
            </w:pPr>
            <w:r>
              <w:rPr>
                <w:rFonts w:hint="eastAsia"/>
                <w:b/>
                <w:bCs/>
                <w:sz w:val="21"/>
                <w:szCs w:val="21"/>
                <w:highlight w:val="none"/>
              </w:rPr>
              <w:t>身份证明</w:t>
            </w:r>
          </w:p>
        </w:tc>
        <w:tc>
          <w:tcPr>
            <w:tcW w:w="3210" w:type="pct"/>
          </w:tcPr>
          <w:p w14:paraId="068996E3">
            <w:pPr>
              <w:pStyle w:val="264"/>
              <w:snapToGrid w:val="0"/>
              <w:ind w:left="11" w:right="193"/>
              <w:rPr>
                <w:rFonts w:hint="eastAsia"/>
                <w:b/>
                <w:bCs/>
                <w:sz w:val="21"/>
                <w:szCs w:val="21"/>
                <w:highlight w:val="none"/>
              </w:rPr>
            </w:pPr>
            <w:r>
              <w:rPr>
                <w:rFonts w:hint="eastAsia"/>
                <w:b/>
                <w:bCs/>
                <w:sz w:val="21"/>
                <w:szCs w:val="21"/>
                <w:highlight w:val="none"/>
              </w:rPr>
              <w:t>投标人法定代表人亲自签署投标文件的，提供了法定代表人身份证明，且法定代表人在法定代表人身份证明上签名</w:t>
            </w:r>
            <w:r>
              <w:rPr>
                <w:rFonts w:hint="eastAsia"/>
                <w:b/>
                <w:bCs/>
                <w:sz w:val="21"/>
                <w:szCs w:val="21"/>
                <w:highlight w:val="none"/>
                <w:lang w:eastAsia="zh-CN"/>
              </w:rPr>
              <w:t>（</w:t>
            </w:r>
            <w:r>
              <w:rPr>
                <w:rFonts w:hint="eastAsia"/>
                <w:b/>
                <w:bCs/>
                <w:sz w:val="21"/>
                <w:szCs w:val="21"/>
                <w:highlight w:val="none"/>
                <w:lang w:val="en-US" w:eastAsia="zh-CN"/>
              </w:rPr>
              <w:t>盖章</w:t>
            </w:r>
            <w:r>
              <w:rPr>
                <w:rFonts w:hint="eastAsia"/>
                <w:b/>
                <w:bCs/>
                <w:sz w:val="21"/>
                <w:szCs w:val="21"/>
                <w:highlight w:val="none"/>
                <w:lang w:eastAsia="zh-CN"/>
              </w:rPr>
              <w:t>）</w:t>
            </w:r>
            <w:r>
              <w:rPr>
                <w:rFonts w:hint="eastAsia"/>
                <w:b/>
                <w:bCs/>
                <w:sz w:val="21"/>
                <w:szCs w:val="21"/>
                <w:highlight w:val="none"/>
              </w:rPr>
              <w:t>。</w:t>
            </w:r>
          </w:p>
        </w:tc>
      </w:tr>
      <w:tr w14:paraId="74E9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3CA2F10E">
            <w:pPr>
              <w:adjustRightInd w:val="0"/>
              <w:textAlignment w:val="baseline"/>
              <w:rPr>
                <w:rFonts w:hint="eastAsia" w:ascii="宋体" w:hAnsi="宋体" w:cs="宋体"/>
                <w:b/>
                <w:highlight w:val="none"/>
              </w:rPr>
            </w:pPr>
          </w:p>
        </w:tc>
        <w:tc>
          <w:tcPr>
            <w:tcW w:w="436" w:type="pct"/>
            <w:vMerge w:val="continue"/>
            <w:vAlign w:val="center"/>
          </w:tcPr>
          <w:p w14:paraId="09E9778B">
            <w:pPr>
              <w:adjustRightInd w:val="0"/>
              <w:textAlignment w:val="baseline"/>
              <w:rPr>
                <w:rFonts w:hint="eastAsia" w:ascii="宋体" w:hAnsi="宋体" w:cs="宋体"/>
                <w:b/>
                <w:highlight w:val="none"/>
              </w:rPr>
            </w:pPr>
          </w:p>
        </w:tc>
        <w:tc>
          <w:tcPr>
            <w:tcW w:w="935" w:type="pct"/>
            <w:vAlign w:val="center"/>
          </w:tcPr>
          <w:p w14:paraId="4F7977E1">
            <w:pPr>
              <w:pStyle w:val="264"/>
              <w:spacing w:before="75"/>
              <w:ind w:left="10" w:right="192"/>
              <w:jc w:val="center"/>
              <w:rPr>
                <w:rFonts w:hint="eastAsia"/>
                <w:b/>
                <w:bCs/>
                <w:sz w:val="21"/>
                <w:szCs w:val="21"/>
                <w:highlight w:val="none"/>
                <w:lang w:val="en-US"/>
              </w:rPr>
            </w:pPr>
            <w:r>
              <w:rPr>
                <w:rFonts w:hint="eastAsia"/>
                <w:b/>
                <w:bCs/>
                <w:sz w:val="21"/>
                <w:szCs w:val="21"/>
                <w:highlight w:val="none"/>
              </w:rPr>
              <w:t>联合体</w:t>
            </w:r>
          </w:p>
        </w:tc>
        <w:tc>
          <w:tcPr>
            <w:tcW w:w="3210" w:type="pct"/>
          </w:tcPr>
          <w:p w14:paraId="613FBD55">
            <w:pPr>
              <w:pStyle w:val="264"/>
              <w:snapToGrid w:val="0"/>
              <w:ind w:left="11" w:right="193"/>
              <w:rPr>
                <w:rFonts w:hint="eastAsia"/>
                <w:b/>
                <w:bCs/>
                <w:sz w:val="21"/>
                <w:szCs w:val="21"/>
                <w:highlight w:val="none"/>
              </w:rPr>
            </w:pPr>
            <w:r>
              <w:rPr>
                <w:rFonts w:hint="eastAsia"/>
                <w:b/>
                <w:bCs/>
                <w:sz w:val="21"/>
                <w:szCs w:val="21"/>
                <w:highlight w:val="none"/>
              </w:rPr>
              <w:t>投标人未以联合体形式投标</w:t>
            </w:r>
            <w:r>
              <w:rPr>
                <w:rFonts w:hint="eastAsia"/>
                <w:b/>
                <w:bCs/>
                <w:sz w:val="21"/>
                <w:szCs w:val="21"/>
                <w:highlight w:val="none"/>
                <w:lang w:val="en-US"/>
              </w:rPr>
              <w:t>。</w:t>
            </w:r>
          </w:p>
        </w:tc>
      </w:tr>
      <w:tr w14:paraId="5C62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1C3E724">
            <w:pPr>
              <w:adjustRightInd w:val="0"/>
              <w:textAlignment w:val="baseline"/>
              <w:rPr>
                <w:rFonts w:hint="eastAsia" w:ascii="宋体" w:hAnsi="宋体" w:cs="宋体"/>
                <w:b/>
                <w:highlight w:val="none"/>
              </w:rPr>
            </w:pPr>
          </w:p>
        </w:tc>
        <w:tc>
          <w:tcPr>
            <w:tcW w:w="436" w:type="pct"/>
            <w:vMerge w:val="continue"/>
            <w:vAlign w:val="center"/>
          </w:tcPr>
          <w:p w14:paraId="051DAD99">
            <w:pPr>
              <w:adjustRightInd w:val="0"/>
              <w:textAlignment w:val="baseline"/>
              <w:rPr>
                <w:rFonts w:hint="eastAsia" w:ascii="宋体" w:hAnsi="宋体" w:cs="宋体"/>
                <w:b/>
                <w:highlight w:val="none"/>
              </w:rPr>
            </w:pPr>
          </w:p>
        </w:tc>
        <w:tc>
          <w:tcPr>
            <w:tcW w:w="935" w:type="pct"/>
            <w:vAlign w:val="center"/>
          </w:tcPr>
          <w:p w14:paraId="52297D1B">
            <w:pPr>
              <w:pStyle w:val="264"/>
              <w:spacing w:before="75"/>
              <w:ind w:left="10" w:right="192"/>
              <w:jc w:val="center"/>
              <w:rPr>
                <w:rFonts w:hint="eastAsia"/>
                <w:b/>
                <w:bCs/>
                <w:sz w:val="21"/>
                <w:szCs w:val="21"/>
                <w:highlight w:val="none"/>
              </w:rPr>
            </w:pPr>
            <w:r>
              <w:rPr>
                <w:rFonts w:hint="eastAsia"/>
                <w:b/>
                <w:bCs/>
                <w:sz w:val="21"/>
                <w:szCs w:val="21"/>
                <w:highlight w:val="none"/>
                <w:lang w:val="en-US"/>
              </w:rPr>
              <w:t>分包</w:t>
            </w:r>
          </w:p>
        </w:tc>
        <w:tc>
          <w:tcPr>
            <w:tcW w:w="3210" w:type="pct"/>
          </w:tcPr>
          <w:p w14:paraId="7FE94680">
            <w:pPr>
              <w:pStyle w:val="264"/>
              <w:snapToGrid w:val="0"/>
              <w:ind w:left="11" w:right="193"/>
              <w:rPr>
                <w:rFonts w:hint="eastAsia"/>
                <w:b/>
                <w:bCs/>
                <w:sz w:val="21"/>
                <w:szCs w:val="21"/>
                <w:highlight w:val="none"/>
              </w:rPr>
            </w:pPr>
            <w:r>
              <w:rPr>
                <w:rFonts w:hint="eastAsia"/>
                <w:b/>
                <w:bCs/>
                <w:sz w:val="21"/>
                <w:szCs w:val="21"/>
                <w:highlight w:val="none"/>
              </w:rPr>
              <w:t>投标人无分包计划。</w:t>
            </w:r>
          </w:p>
        </w:tc>
      </w:tr>
      <w:tr w14:paraId="77B5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5C19C0B">
            <w:pPr>
              <w:adjustRightInd w:val="0"/>
              <w:textAlignment w:val="baseline"/>
              <w:rPr>
                <w:rFonts w:hint="eastAsia" w:ascii="宋体" w:hAnsi="宋体" w:cs="宋体"/>
                <w:b/>
                <w:highlight w:val="none"/>
              </w:rPr>
            </w:pPr>
          </w:p>
        </w:tc>
        <w:tc>
          <w:tcPr>
            <w:tcW w:w="436" w:type="pct"/>
            <w:vMerge w:val="continue"/>
            <w:vAlign w:val="center"/>
          </w:tcPr>
          <w:p w14:paraId="27BE1D42">
            <w:pPr>
              <w:adjustRightInd w:val="0"/>
              <w:textAlignment w:val="baseline"/>
              <w:rPr>
                <w:rFonts w:hint="eastAsia" w:ascii="宋体" w:hAnsi="宋体" w:cs="宋体"/>
                <w:b/>
                <w:highlight w:val="none"/>
              </w:rPr>
            </w:pPr>
          </w:p>
        </w:tc>
        <w:tc>
          <w:tcPr>
            <w:tcW w:w="935" w:type="pct"/>
            <w:vAlign w:val="center"/>
          </w:tcPr>
          <w:p w14:paraId="1ED392AB">
            <w:pPr>
              <w:pStyle w:val="264"/>
              <w:spacing w:before="75"/>
              <w:ind w:left="10" w:right="192"/>
              <w:jc w:val="center"/>
              <w:rPr>
                <w:rFonts w:hint="eastAsia"/>
                <w:b/>
                <w:bCs/>
                <w:sz w:val="21"/>
                <w:szCs w:val="21"/>
                <w:highlight w:val="none"/>
              </w:rPr>
            </w:pPr>
            <w:r>
              <w:rPr>
                <w:rFonts w:hint="eastAsia"/>
                <w:b/>
                <w:bCs/>
                <w:sz w:val="21"/>
                <w:szCs w:val="21"/>
                <w:highlight w:val="none"/>
              </w:rPr>
              <w:t>备选投标</w:t>
            </w:r>
          </w:p>
        </w:tc>
        <w:tc>
          <w:tcPr>
            <w:tcW w:w="3210" w:type="pct"/>
          </w:tcPr>
          <w:p w14:paraId="44AF9E3E">
            <w:pPr>
              <w:pStyle w:val="264"/>
              <w:snapToGrid w:val="0"/>
              <w:ind w:left="11" w:right="193"/>
              <w:rPr>
                <w:rFonts w:hint="eastAsia"/>
                <w:b/>
                <w:bCs/>
                <w:sz w:val="21"/>
                <w:szCs w:val="21"/>
                <w:highlight w:val="none"/>
              </w:rPr>
            </w:pPr>
            <w:r>
              <w:rPr>
                <w:rFonts w:hint="eastAsia"/>
                <w:b/>
                <w:bCs/>
                <w:sz w:val="21"/>
                <w:szCs w:val="21"/>
                <w:highlight w:val="none"/>
              </w:rPr>
              <w:t>同一投标人未提交两个以上不同的投标文件，但招标文件要求提交备选投标的除外。</w:t>
            </w:r>
          </w:p>
        </w:tc>
      </w:tr>
      <w:tr w14:paraId="4EA2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2A760C73">
            <w:pPr>
              <w:adjustRightInd w:val="0"/>
              <w:textAlignment w:val="baseline"/>
              <w:rPr>
                <w:rFonts w:hint="eastAsia" w:ascii="宋体" w:hAnsi="宋体" w:cs="宋体"/>
                <w:b/>
                <w:highlight w:val="none"/>
              </w:rPr>
            </w:pPr>
          </w:p>
        </w:tc>
        <w:tc>
          <w:tcPr>
            <w:tcW w:w="436" w:type="pct"/>
            <w:vMerge w:val="continue"/>
            <w:vAlign w:val="center"/>
          </w:tcPr>
          <w:p w14:paraId="41B1AE35">
            <w:pPr>
              <w:adjustRightInd w:val="0"/>
              <w:textAlignment w:val="baseline"/>
              <w:rPr>
                <w:rFonts w:hint="eastAsia" w:ascii="宋体" w:hAnsi="宋体" w:cs="宋体"/>
                <w:b/>
                <w:highlight w:val="none"/>
              </w:rPr>
            </w:pPr>
          </w:p>
        </w:tc>
        <w:tc>
          <w:tcPr>
            <w:tcW w:w="935" w:type="pct"/>
            <w:vAlign w:val="center"/>
          </w:tcPr>
          <w:p w14:paraId="04A8DC32">
            <w:pPr>
              <w:pStyle w:val="264"/>
              <w:spacing w:before="75"/>
              <w:ind w:left="10" w:right="192"/>
              <w:jc w:val="center"/>
              <w:rPr>
                <w:rFonts w:hint="eastAsia"/>
                <w:b/>
                <w:bCs/>
                <w:sz w:val="21"/>
                <w:szCs w:val="21"/>
                <w:highlight w:val="none"/>
              </w:rPr>
            </w:pPr>
            <w:r>
              <w:rPr>
                <w:rFonts w:hint="eastAsia"/>
                <w:b/>
                <w:bCs/>
                <w:sz w:val="21"/>
                <w:szCs w:val="21"/>
                <w:highlight w:val="none"/>
              </w:rPr>
              <w:t>有关投标报价的内容</w:t>
            </w:r>
          </w:p>
        </w:tc>
        <w:tc>
          <w:tcPr>
            <w:tcW w:w="3210" w:type="pct"/>
            <w:vAlign w:val="center"/>
          </w:tcPr>
          <w:p w14:paraId="23844B1E">
            <w:pPr>
              <w:pStyle w:val="264"/>
              <w:snapToGrid w:val="0"/>
              <w:ind w:left="11" w:right="193"/>
              <w:rPr>
                <w:rFonts w:hint="eastAsia"/>
                <w:b/>
                <w:bCs/>
                <w:sz w:val="21"/>
                <w:szCs w:val="21"/>
                <w:highlight w:val="none"/>
              </w:rPr>
            </w:pPr>
            <w:r>
              <w:rPr>
                <w:rFonts w:hint="eastAsia"/>
                <w:b/>
                <w:bCs/>
                <w:sz w:val="21"/>
                <w:szCs w:val="21"/>
                <w:highlight w:val="none"/>
              </w:rPr>
              <w:t>第一信封中未岀现有关投标报价的内容。</w:t>
            </w:r>
          </w:p>
        </w:tc>
      </w:tr>
      <w:tr w14:paraId="7E4E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7A59A23">
            <w:pPr>
              <w:adjustRightInd w:val="0"/>
              <w:textAlignment w:val="baseline"/>
              <w:rPr>
                <w:rFonts w:hint="eastAsia" w:ascii="宋体" w:hAnsi="宋体" w:cs="宋体"/>
                <w:b/>
                <w:highlight w:val="none"/>
              </w:rPr>
            </w:pPr>
          </w:p>
        </w:tc>
        <w:tc>
          <w:tcPr>
            <w:tcW w:w="436" w:type="pct"/>
            <w:vMerge w:val="continue"/>
            <w:vAlign w:val="center"/>
          </w:tcPr>
          <w:p w14:paraId="4ECA62CF">
            <w:pPr>
              <w:adjustRightInd w:val="0"/>
              <w:textAlignment w:val="baseline"/>
              <w:rPr>
                <w:rFonts w:hint="eastAsia" w:ascii="宋体" w:hAnsi="宋体" w:cs="宋体"/>
                <w:b/>
                <w:highlight w:val="none"/>
              </w:rPr>
            </w:pPr>
          </w:p>
        </w:tc>
        <w:tc>
          <w:tcPr>
            <w:tcW w:w="935" w:type="pct"/>
            <w:vAlign w:val="center"/>
          </w:tcPr>
          <w:p w14:paraId="5814F453">
            <w:pPr>
              <w:pStyle w:val="264"/>
              <w:spacing w:before="75"/>
              <w:ind w:left="10" w:right="192"/>
              <w:jc w:val="center"/>
              <w:rPr>
                <w:rFonts w:hint="eastAsia"/>
                <w:b/>
                <w:bCs/>
                <w:sz w:val="21"/>
                <w:szCs w:val="21"/>
                <w:highlight w:val="none"/>
              </w:rPr>
            </w:pPr>
            <w:r>
              <w:rPr>
                <w:rFonts w:hint="eastAsia"/>
                <w:b/>
                <w:bCs/>
                <w:sz w:val="21"/>
                <w:szCs w:val="21"/>
                <w:highlight w:val="none"/>
              </w:rPr>
              <w:t>完成期限</w:t>
            </w:r>
          </w:p>
        </w:tc>
        <w:tc>
          <w:tcPr>
            <w:tcW w:w="3210" w:type="pct"/>
          </w:tcPr>
          <w:p w14:paraId="4E5EA6FC">
            <w:pPr>
              <w:pStyle w:val="264"/>
              <w:snapToGrid w:val="0"/>
              <w:ind w:left="11" w:right="193"/>
              <w:rPr>
                <w:rFonts w:hint="eastAsia"/>
                <w:b/>
                <w:bCs/>
                <w:sz w:val="21"/>
                <w:szCs w:val="21"/>
                <w:highlight w:val="none"/>
              </w:rPr>
            </w:pPr>
            <w:r>
              <w:rPr>
                <w:rFonts w:hint="eastAsia"/>
                <w:b/>
                <w:bCs/>
                <w:sz w:val="21"/>
                <w:szCs w:val="21"/>
                <w:highlight w:val="none"/>
              </w:rPr>
              <w:t>投标文件载明的招标项目完成期限未超过招标文件规定的时限。</w:t>
            </w:r>
          </w:p>
        </w:tc>
      </w:tr>
      <w:tr w14:paraId="0028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7125BD96">
            <w:pPr>
              <w:adjustRightInd w:val="0"/>
              <w:textAlignment w:val="baseline"/>
              <w:rPr>
                <w:rFonts w:hint="eastAsia" w:ascii="宋体" w:hAnsi="宋体" w:cs="宋体"/>
                <w:b/>
                <w:highlight w:val="none"/>
              </w:rPr>
            </w:pPr>
          </w:p>
        </w:tc>
        <w:tc>
          <w:tcPr>
            <w:tcW w:w="436" w:type="pct"/>
            <w:vMerge w:val="continue"/>
            <w:vAlign w:val="center"/>
          </w:tcPr>
          <w:p w14:paraId="313088F3">
            <w:pPr>
              <w:adjustRightInd w:val="0"/>
              <w:textAlignment w:val="baseline"/>
              <w:rPr>
                <w:rFonts w:hint="eastAsia" w:ascii="宋体" w:hAnsi="宋体" w:cs="宋体"/>
                <w:b/>
                <w:highlight w:val="none"/>
              </w:rPr>
            </w:pPr>
          </w:p>
        </w:tc>
        <w:tc>
          <w:tcPr>
            <w:tcW w:w="935" w:type="pct"/>
            <w:vAlign w:val="center"/>
          </w:tcPr>
          <w:p w14:paraId="219530CC">
            <w:pPr>
              <w:pStyle w:val="264"/>
              <w:spacing w:before="75"/>
              <w:ind w:left="10" w:right="192"/>
              <w:jc w:val="center"/>
              <w:rPr>
                <w:rFonts w:hint="eastAsia"/>
                <w:b/>
                <w:bCs/>
                <w:sz w:val="21"/>
                <w:szCs w:val="21"/>
                <w:highlight w:val="none"/>
              </w:rPr>
            </w:pPr>
            <w:r>
              <w:rPr>
                <w:rFonts w:hint="eastAsia"/>
                <w:b/>
                <w:bCs/>
                <w:sz w:val="21"/>
                <w:szCs w:val="21"/>
                <w:highlight w:val="none"/>
              </w:rPr>
              <w:t>实质性要求和条件</w:t>
            </w:r>
          </w:p>
        </w:tc>
        <w:tc>
          <w:tcPr>
            <w:tcW w:w="3210" w:type="pct"/>
            <w:vAlign w:val="center"/>
          </w:tcPr>
          <w:p w14:paraId="37A6F910">
            <w:pPr>
              <w:pStyle w:val="264"/>
              <w:snapToGrid w:val="0"/>
              <w:ind w:left="11" w:right="193"/>
              <w:rPr>
                <w:rFonts w:hint="eastAsia"/>
                <w:b/>
                <w:bCs/>
                <w:sz w:val="21"/>
                <w:szCs w:val="21"/>
                <w:highlight w:val="none"/>
              </w:rPr>
            </w:pPr>
            <w:r>
              <w:rPr>
                <w:rFonts w:hint="eastAsia"/>
                <w:b/>
                <w:bCs/>
                <w:sz w:val="21"/>
                <w:szCs w:val="21"/>
                <w:highlight w:val="none"/>
              </w:rPr>
              <w:t>投标文件对招标文件的实质性要求和条件作岀响应。</w:t>
            </w:r>
          </w:p>
        </w:tc>
      </w:tr>
      <w:tr w14:paraId="5AD9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18" w:type="pct"/>
            <w:vMerge w:val="continue"/>
            <w:vAlign w:val="center"/>
          </w:tcPr>
          <w:p w14:paraId="6F583A05">
            <w:pPr>
              <w:adjustRightInd w:val="0"/>
              <w:textAlignment w:val="baseline"/>
              <w:rPr>
                <w:rFonts w:hint="eastAsia" w:ascii="宋体" w:hAnsi="宋体" w:cs="宋体"/>
                <w:b/>
                <w:highlight w:val="none"/>
              </w:rPr>
            </w:pPr>
          </w:p>
        </w:tc>
        <w:tc>
          <w:tcPr>
            <w:tcW w:w="436" w:type="pct"/>
            <w:vMerge w:val="continue"/>
            <w:vAlign w:val="center"/>
          </w:tcPr>
          <w:p w14:paraId="2D467151">
            <w:pPr>
              <w:adjustRightInd w:val="0"/>
              <w:textAlignment w:val="baseline"/>
              <w:rPr>
                <w:rFonts w:hint="eastAsia" w:ascii="宋体" w:hAnsi="宋体" w:cs="宋体"/>
                <w:b/>
                <w:highlight w:val="none"/>
              </w:rPr>
            </w:pPr>
          </w:p>
        </w:tc>
        <w:tc>
          <w:tcPr>
            <w:tcW w:w="935" w:type="pct"/>
            <w:vAlign w:val="center"/>
          </w:tcPr>
          <w:p w14:paraId="692002D7">
            <w:pPr>
              <w:pStyle w:val="264"/>
              <w:spacing w:before="75"/>
              <w:ind w:left="10" w:right="192"/>
              <w:jc w:val="center"/>
              <w:rPr>
                <w:rFonts w:hint="eastAsia"/>
                <w:b/>
                <w:bCs/>
                <w:sz w:val="21"/>
                <w:szCs w:val="21"/>
                <w:highlight w:val="none"/>
              </w:rPr>
            </w:pPr>
            <w:r>
              <w:rPr>
                <w:rFonts w:hint="eastAsia"/>
                <w:b/>
                <w:bCs/>
                <w:sz w:val="21"/>
                <w:szCs w:val="21"/>
                <w:highlight w:val="none"/>
              </w:rPr>
              <w:t>权利义务</w:t>
            </w:r>
          </w:p>
        </w:tc>
        <w:tc>
          <w:tcPr>
            <w:tcW w:w="3210" w:type="pct"/>
          </w:tcPr>
          <w:p w14:paraId="7D1EA171">
            <w:pPr>
              <w:pStyle w:val="264"/>
              <w:snapToGrid w:val="0"/>
              <w:ind w:left="11" w:right="193"/>
              <w:rPr>
                <w:rFonts w:hint="eastAsia"/>
                <w:b/>
                <w:bCs/>
                <w:sz w:val="21"/>
                <w:szCs w:val="21"/>
                <w:highlight w:val="none"/>
              </w:rPr>
            </w:pPr>
            <w:r>
              <w:rPr>
                <w:rFonts w:hint="eastAsia"/>
                <w:b/>
                <w:bCs/>
                <w:sz w:val="21"/>
                <w:szCs w:val="21"/>
                <w:highlight w:val="none"/>
                <w:lang w:val="en-US"/>
              </w:rPr>
              <w:t>a.</w:t>
            </w:r>
            <w:r>
              <w:rPr>
                <w:rFonts w:hint="eastAsia"/>
                <w:b/>
                <w:bCs/>
                <w:sz w:val="21"/>
                <w:szCs w:val="21"/>
                <w:highlight w:val="none"/>
              </w:rPr>
              <w:t>投标人应接受招标文件规定的风险划分原则，未提岀新的风险划分办法；</w:t>
            </w:r>
          </w:p>
          <w:p w14:paraId="32030666">
            <w:pPr>
              <w:pStyle w:val="264"/>
              <w:snapToGrid w:val="0"/>
              <w:ind w:left="11" w:right="193"/>
              <w:rPr>
                <w:rFonts w:hint="eastAsia"/>
                <w:b/>
                <w:bCs/>
                <w:sz w:val="21"/>
                <w:szCs w:val="21"/>
                <w:highlight w:val="none"/>
              </w:rPr>
            </w:pPr>
            <w:r>
              <w:rPr>
                <w:rFonts w:hint="eastAsia"/>
                <w:b/>
                <w:bCs/>
                <w:sz w:val="21"/>
                <w:szCs w:val="21"/>
                <w:highlight w:val="none"/>
                <w:lang w:val="en-US"/>
              </w:rPr>
              <w:t>b.</w:t>
            </w:r>
            <w:r>
              <w:rPr>
                <w:rFonts w:hint="eastAsia"/>
                <w:b/>
                <w:bCs/>
                <w:sz w:val="21"/>
                <w:szCs w:val="21"/>
                <w:highlight w:val="none"/>
              </w:rPr>
              <w:t>投标人未増加发包人的责任 范围，或减少投标人义务；岀不同的工程验收、计量、支付办法；</w:t>
            </w:r>
          </w:p>
          <w:p w14:paraId="6F644E37">
            <w:pPr>
              <w:pStyle w:val="264"/>
              <w:snapToGrid w:val="0"/>
              <w:ind w:left="11" w:right="193"/>
              <w:rPr>
                <w:rFonts w:hint="eastAsia"/>
                <w:b/>
                <w:bCs/>
                <w:sz w:val="21"/>
                <w:szCs w:val="21"/>
                <w:highlight w:val="none"/>
              </w:rPr>
            </w:pPr>
            <w:r>
              <w:rPr>
                <w:rFonts w:hint="eastAsia"/>
                <w:b/>
                <w:bCs/>
                <w:sz w:val="21"/>
                <w:szCs w:val="21"/>
                <w:highlight w:val="none"/>
                <w:lang w:val="en-US"/>
              </w:rPr>
              <w:t>c.</w:t>
            </w:r>
            <w:r>
              <w:rPr>
                <w:rFonts w:hint="eastAsia"/>
                <w:b/>
                <w:bCs/>
                <w:sz w:val="21"/>
                <w:szCs w:val="21"/>
                <w:highlight w:val="none"/>
              </w:rPr>
              <w:t>投标人对合同纠纷、事故处理办法未提出异议；</w:t>
            </w:r>
          </w:p>
          <w:p w14:paraId="79C22B90">
            <w:pPr>
              <w:pStyle w:val="264"/>
              <w:snapToGrid w:val="0"/>
              <w:ind w:left="11" w:right="193"/>
              <w:rPr>
                <w:rFonts w:hint="eastAsia"/>
                <w:b/>
                <w:bCs/>
                <w:sz w:val="21"/>
                <w:szCs w:val="21"/>
                <w:highlight w:val="none"/>
              </w:rPr>
            </w:pPr>
            <w:r>
              <w:rPr>
                <w:rFonts w:hint="eastAsia"/>
                <w:b/>
                <w:bCs/>
                <w:sz w:val="21"/>
                <w:szCs w:val="21"/>
                <w:highlight w:val="none"/>
                <w:lang w:val="en-US"/>
              </w:rPr>
              <w:t>d.</w:t>
            </w:r>
            <w:r>
              <w:rPr>
                <w:rFonts w:hint="eastAsia"/>
                <w:b/>
                <w:bCs/>
                <w:sz w:val="21"/>
                <w:szCs w:val="21"/>
                <w:highlight w:val="none"/>
              </w:rPr>
              <w:t>投标人未提故处理办法未提岀异议；</w:t>
            </w:r>
          </w:p>
          <w:p w14:paraId="334A2600">
            <w:pPr>
              <w:pStyle w:val="264"/>
              <w:snapToGrid w:val="0"/>
              <w:ind w:left="11" w:right="193"/>
              <w:rPr>
                <w:rFonts w:hint="eastAsia"/>
                <w:b/>
                <w:bCs/>
                <w:sz w:val="21"/>
                <w:szCs w:val="21"/>
                <w:highlight w:val="none"/>
              </w:rPr>
            </w:pPr>
            <w:r>
              <w:rPr>
                <w:rFonts w:hint="eastAsia"/>
                <w:b/>
                <w:bCs/>
                <w:sz w:val="21"/>
                <w:szCs w:val="21"/>
                <w:highlight w:val="none"/>
                <w:lang w:val="en-US"/>
              </w:rPr>
              <w:t>e.</w:t>
            </w:r>
            <w:r>
              <w:rPr>
                <w:rFonts w:hint="eastAsia"/>
                <w:b/>
                <w:bCs/>
                <w:sz w:val="21"/>
                <w:szCs w:val="21"/>
                <w:highlight w:val="none"/>
              </w:rPr>
              <w:t>投标人在投标活动中无欺诉行为；</w:t>
            </w:r>
          </w:p>
          <w:p w14:paraId="72D11EC2">
            <w:pPr>
              <w:pStyle w:val="264"/>
              <w:snapToGrid w:val="0"/>
              <w:ind w:left="11" w:right="193"/>
              <w:rPr>
                <w:rFonts w:hint="eastAsia"/>
                <w:b/>
                <w:bCs/>
                <w:sz w:val="21"/>
                <w:szCs w:val="21"/>
                <w:highlight w:val="none"/>
              </w:rPr>
            </w:pPr>
            <w:r>
              <w:rPr>
                <w:rFonts w:hint="eastAsia"/>
                <w:b/>
                <w:bCs/>
                <w:sz w:val="21"/>
                <w:szCs w:val="21"/>
                <w:highlight w:val="none"/>
                <w:lang w:val="en-US"/>
              </w:rPr>
              <w:t>f.</w:t>
            </w:r>
            <w:r>
              <w:rPr>
                <w:rFonts w:hint="eastAsia"/>
                <w:b/>
                <w:bCs/>
                <w:sz w:val="21"/>
                <w:szCs w:val="21"/>
                <w:highlight w:val="none"/>
              </w:rPr>
              <w:t>投标人未对合同条款有重要保留。</w:t>
            </w:r>
          </w:p>
        </w:tc>
      </w:tr>
      <w:tr w14:paraId="571B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458D2F6">
            <w:pPr>
              <w:adjustRightInd w:val="0"/>
              <w:textAlignment w:val="baseline"/>
              <w:rPr>
                <w:rFonts w:hint="eastAsia" w:ascii="宋体" w:hAnsi="宋体" w:cs="宋体"/>
                <w:b/>
                <w:highlight w:val="none"/>
              </w:rPr>
            </w:pPr>
          </w:p>
        </w:tc>
        <w:tc>
          <w:tcPr>
            <w:tcW w:w="436" w:type="pct"/>
            <w:vMerge w:val="continue"/>
            <w:vAlign w:val="center"/>
          </w:tcPr>
          <w:p w14:paraId="0703172A">
            <w:pPr>
              <w:adjustRightInd w:val="0"/>
              <w:textAlignment w:val="baseline"/>
              <w:rPr>
                <w:rFonts w:hint="eastAsia" w:ascii="宋体" w:hAnsi="宋体" w:cs="宋体"/>
                <w:b/>
                <w:highlight w:val="none"/>
              </w:rPr>
            </w:pPr>
          </w:p>
        </w:tc>
        <w:tc>
          <w:tcPr>
            <w:tcW w:w="935" w:type="pct"/>
            <w:vAlign w:val="center"/>
          </w:tcPr>
          <w:p w14:paraId="27DD5762">
            <w:pPr>
              <w:pStyle w:val="264"/>
              <w:spacing w:before="75"/>
              <w:ind w:left="10" w:right="192"/>
              <w:jc w:val="center"/>
              <w:rPr>
                <w:rFonts w:hint="eastAsia"/>
                <w:b/>
                <w:bCs/>
                <w:sz w:val="21"/>
                <w:szCs w:val="21"/>
                <w:highlight w:val="none"/>
              </w:rPr>
            </w:pPr>
            <w:r>
              <w:rPr>
                <w:rFonts w:hint="eastAsia"/>
                <w:b/>
                <w:bCs/>
                <w:sz w:val="21"/>
                <w:szCs w:val="21"/>
                <w:highlight w:val="none"/>
              </w:rPr>
              <w:t>无串通投标</w:t>
            </w:r>
          </w:p>
          <w:p w14:paraId="220D2075">
            <w:pPr>
              <w:pStyle w:val="264"/>
              <w:spacing w:before="75"/>
              <w:ind w:left="10" w:right="192"/>
              <w:jc w:val="center"/>
              <w:rPr>
                <w:rFonts w:hint="eastAsia"/>
                <w:b/>
                <w:bCs/>
                <w:sz w:val="21"/>
                <w:szCs w:val="21"/>
                <w:highlight w:val="none"/>
              </w:rPr>
            </w:pPr>
            <w:r>
              <w:rPr>
                <w:rFonts w:hint="eastAsia"/>
                <w:b/>
                <w:bCs/>
                <w:sz w:val="21"/>
                <w:szCs w:val="21"/>
                <w:highlight w:val="none"/>
              </w:rPr>
              <w:t>行为</w:t>
            </w:r>
          </w:p>
        </w:tc>
        <w:tc>
          <w:tcPr>
            <w:tcW w:w="3210" w:type="pct"/>
          </w:tcPr>
          <w:p w14:paraId="2A85B819">
            <w:pPr>
              <w:pStyle w:val="264"/>
              <w:snapToGrid w:val="0"/>
              <w:ind w:left="11" w:right="193"/>
              <w:rPr>
                <w:rFonts w:hint="eastAsia"/>
                <w:b/>
                <w:bCs/>
                <w:sz w:val="21"/>
                <w:szCs w:val="21"/>
                <w:highlight w:val="none"/>
              </w:rPr>
            </w:pPr>
            <w:r>
              <w:rPr>
                <w:rFonts w:hint="eastAsia"/>
                <w:b/>
                <w:bCs/>
                <w:sz w:val="21"/>
                <w:szCs w:val="21"/>
                <w:highlight w:val="none"/>
              </w:rPr>
              <w:t>投标人没有《中华人民共和国招标投标法实施条例》 中明确的串通投标行为。</w:t>
            </w:r>
          </w:p>
        </w:tc>
      </w:tr>
      <w:tr w14:paraId="3EEF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31F108FD">
            <w:pPr>
              <w:adjustRightInd w:val="0"/>
              <w:textAlignment w:val="baseline"/>
              <w:rPr>
                <w:rFonts w:hint="eastAsia" w:ascii="宋体" w:hAnsi="宋体" w:cs="宋体"/>
                <w:b/>
                <w:highlight w:val="none"/>
              </w:rPr>
            </w:pPr>
          </w:p>
        </w:tc>
        <w:tc>
          <w:tcPr>
            <w:tcW w:w="436" w:type="pct"/>
            <w:vMerge w:val="continue"/>
            <w:vAlign w:val="center"/>
          </w:tcPr>
          <w:p w14:paraId="7450A8D9">
            <w:pPr>
              <w:adjustRightInd w:val="0"/>
              <w:textAlignment w:val="baseline"/>
              <w:rPr>
                <w:rFonts w:hint="eastAsia" w:ascii="宋体" w:hAnsi="宋体" w:cs="宋体"/>
                <w:b/>
                <w:highlight w:val="none"/>
              </w:rPr>
            </w:pPr>
          </w:p>
        </w:tc>
        <w:tc>
          <w:tcPr>
            <w:tcW w:w="935" w:type="pct"/>
            <w:vAlign w:val="center"/>
          </w:tcPr>
          <w:p w14:paraId="7971877F">
            <w:pPr>
              <w:pStyle w:val="264"/>
              <w:spacing w:before="75"/>
              <w:ind w:left="10" w:right="192"/>
              <w:jc w:val="center"/>
              <w:rPr>
                <w:rFonts w:hint="eastAsia"/>
                <w:b/>
                <w:bCs/>
                <w:sz w:val="21"/>
                <w:szCs w:val="21"/>
                <w:highlight w:val="none"/>
              </w:rPr>
            </w:pPr>
            <w:r>
              <w:rPr>
                <w:rFonts w:hint="eastAsia"/>
                <w:b/>
                <w:bCs/>
                <w:sz w:val="21"/>
                <w:szCs w:val="21"/>
                <w:highlight w:val="none"/>
              </w:rPr>
              <w:t>不存在的其他情况</w:t>
            </w:r>
          </w:p>
        </w:tc>
        <w:tc>
          <w:tcPr>
            <w:tcW w:w="3210" w:type="pct"/>
            <w:vAlign w:val="center"/>
          </w:tcPr>
          <w:p w14:paraId="4F778C81">
            <w:pPr>
              <w:pStyle w:val="264"/>
              <w:snapToGrid w:val="0"/>
              <w:ind w:left="11" w:right="193"/>
              <w:jc w:val="both"/>
              <w:rPr>
                <w:rFonts w:hint="eastAsia"/>
                <w:b/>
                <w:bCs/>
                <w:sz w:val="21"/>
                <w:szCs w:val="21"/>
                <w:highlight w:val="none"/>
              </w:rPr>
            </w:pPr>
            <w:r>
              <w:rPr>
                <w:rFonts w:hint="eastAsia"/>
                <w:b/>
                <w:bCs/>
                <w:sz w:val="21"/>
                <w:szCs w:val="21"/>
                <w:highlight w:val="none"/>
              </w:rPr>
              <w:t>不存在招标文件其他有关作否决投标处理的条款规定的情况。</w:t>
            </w:r>
          </w:p>
        </w:tc>
      </w:tr>
      <w:tr w14:paraId="04C4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09774749">
            <w:pPr>
              <w:adjustRightInd w:val="0"/>
              <w:jc w:val="center"/>
              <w:textAlignment w:val="baseline"/>
              <w:rPr>
                <w:rFonts w:hint="eastAsia" w:ascii="宋体" w:hAnsi="宋体" w:cs="宋体"/>
                <w:sz w:val="28"/>
                <w:szCs w:val="28"/>
                <w:highlight w:val="none"/>
              </w:rPr>
            </w:pPr>
          </w:p>
        </w:tc>
        <w:tc>
          <w:tcPr>
            <w:tcW w:w="436" w:type="pct"/>
            <w:vMerge w:val="restart"/>
            <w:vAlign w:val="center"/>
          </w:tcPr>
          <w:p w14:paraId="2B3EB3C5">
            <w:pPr>
              <w:adjustRightInd w:val="0"/>
              <w:jc w:val="center"/>
              <w:textAlignment w:val="baseline"/>
              <w:rPr>
                <w:rFonts w:hint="eastAsia" w:ascii="宋体" w:hAnsi="宋体" w:cs="宋体"/>
                <w:highlight w:val="none"/>
              </w:rPr>
            </w:pPr>
            <w:r>
              <w:rPr>
                <w:rFonts w:hint="eastAsia" w:ascii="宋体" w:hAnsi="宋体" w:cs="宋体"/>
                <w:bCs/>
                <w:highlight w:val="none"/>
              </w:rPr>
              <w:t>投标文件第二个信封形式评审与响应性评审标准</w:t>
            </w:r>
          </w:p>
        </w:tc>
        <w:tc>
          <w:tcPr>
            <w:tcW w:w="935" w:type="pct"/>
            <w:vAlign w:val="center"/>
          </w:tcPr>
          <w:p w14:paraId="6ACB2833">
            <w:pPr>
              <w:pStyle w:val="264"/>
              <w:spacing w:before="75"/>
              <w:ind w:left="10" w:right="192"/>
              <w:jc w:val="center"/>
              <w:rPr>
                <w:rFonts w:hint="eastAsia"/>
                <w:b/>
                <w:sz w:val="21"/>
                <w:szCs w:val="21"/>
                <w:highlight w:val="none"/>
              </w:rPr>
            </w:pPr>
            <w:r>
              <w:rPr>
                <w:rFonts w:hint="eastAsia"/>
                <w:b/>
                <w:bCs/>
                <w:sz w:val="21"/>
                <w:szCs w:val="21"/>
                <w:highlight w:val="none"/>
              </w:rPr>
              <w:t>投标文件格式</w:t>
            </w:r>
          </w:p>
        </w:tc>
        <w:tc>
          <w:tcPr>
            <w:tcW w:w="3210" w:type="pct"/>
            <w:vAlign w:val="center"/>
          </w:tcPr>
          <w:p w14:paraId="6B39AFEB">
            <w:pPr>
              <w:pStyle w:val="264"/>
              <w:snapToGrid w:val="0"/>
              <w:ind w:left="11" w:right="193"/>
              <w:rPr>
                <w:rFonts w:hint="eastAsia"/>
                <w:b/>
                <w:bCs/>
                <w:sz w:val="21"/>
                <w:szCs w:val="21"/>
                <w:highlight w:val="none"/>
              </w:rPr>
            </w:pPr>
            <w:r>
              <w:rPr>
                <w:rFonts w:hint="eastAsia"/>
                <w:b/>
                <w:bCs/>
                <w:sz w:val="21"/>
                <w:szCs w:val="21"/>
                <w:highlight w:val="none"/>
                <w:lang w:val="en-US"/>
              </w:rPr>
              <w:t>a.</w:t>
            </w:r>
            <w:r>
              <w:rPr>
                <w:rFonts w:hint="eastAsia"/>
                <w:b/>
                <w:bCs/>
                <w:sz w:val="21"/>
                <w:szCs w:val="21"/>
                <w:highlight w:val="none"/>
              </w:rPr>
              <w:t>投标函按招标文件规定填报了项目名称、标段号、补遗书编号（如有）、投标价（包括大写金额和小写金额）；</w:t>
            </w:r>
          </w:p>
          <w:p w14:paraId="2521F711">
            <w:pPr>
              <w:pStyle w:val="264"/>
              <w:snapToGrid w:val="0"/>
              <w:ind w:left="11" w:right="193"/>
              <w:rPr>
                <w:rFonts w:hint="eastAsia"/>
                <w:b/>
                <w:bCs/>
                <w:sz w:val="21"/>
                <w:szCs w:val="21"/>
                <w:highlight w:val="none"/>
              </w:rPr>
            </w:pPr>
            <w:r>
              <w:rPr>
                <w:rFonts w:hint="eastAsia"/>
                <w:b/>
                <w:bCs/>
                <w:sz w:val="21"/>
                <w:szCs w:val="21"/>
                <w:highlight w:val="none"/>
                <w:lang w:val="en-US"/>
              </w:rPr>
              <w:t>b.</w:t>
            </w:r>
            <w:r>
              <w:rPr>
                <w:rFonts w:hint="eastAsia"/>
                <w:b/>
                <w:bCs/>
                <w:sz w:val="21"/>
                <w:szCs w:val="21"/>
                <w:highlight w:val="none"/>
              </w:rPr>
              <w:t>已标价工程量清单说明文字与招标文件规定一致，未进行实质性修改和删减；</w:t>
            </w:r>
          </w:p>
          <w:p w14:paraId="5BBD3014">
            <w:pPr>
              <w:pStyle w:val="264"/>
              <w:snapToGrid w:val="0"/>
              <w:ind w:left="11" w:right="193"/>
              <w:rPr>
                <w:rFonts w:hint="eastAsia"/>
                <w:b/>
                <w:sz w:val="21"/>
                <w:szCs w:val="21"/>
                <w:highlight w:val="none"/>
              </w:rPr>
            </w:pPr>
            <w:r>
              <w:rPr>
                <w:rFonts w:hint="eastAsia"/>
                <w:b/>
                <w:bCs/>
                <w:sz w:val="21"/>
                <w:szCs w:val="21"/>
                <w:highlight w:val="none"/>
                <w:lang w:val="en-US"/>
              </w:rPr>
              <w:t>c.</w:t>
            </w:r>
            <w:r>
              <w:rPr>
                <w:rFonts w:hint="eastAsia"/>
                <w:b/>
                <w:bCs/>
                <w:sz w:val="21"/>
                <w:szCs w:val="21"/>
                <w:highlight w:val="none"/>
              </w:rPr>
              <w:t xml:space="preserve">投标文件组成齐全完整，内容均按规定填写； </w:t>
            </w:r>
          </w:p>
        </w:tc>
      </w:tr>
      <w:tr w14:paraId="3F0A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366A0B3C">
            <w:pPr>
              <w:rPr>
                <w:rFonts w:hint="eastAsia" w:ascii="宋体" w:hAnsi="宋体" w:cs="宋体"/>
                <w:highlight w:val="none"/>
              </w:rPr>
            </w:pPr>
          </w:p>
        </w:tc>
        <w:tc>
          <w:tcPr>
            <w:tcW w:w="436" w:type="pct"/>
            <w:vMerge w:val="continue"/>
            <w:vAlign w:val="center"/>
          </w:tcPr>
          <w:p w14:paraId="43987DBD">
            <w:pPr>
              <w:rPr>
                <w:rFonts w:hint="eastAsia" w:ascii="宋体" w:hAnsi="宋体" w:cs="宋体"/>
                <w:highlight w:val="none"/>
              </w:rPr>
            </w:pPr>
          </w:p>
        </w:tc>
        <w:tc>
          <w:tcPr>
            <w:tcW w:w="935" w:type="pct"/>
            <w:vAlign w:val="center"/>
          </w:tcPr>
          <w:p w14:paraId="034A2E04">
            <w:pPr>
              <w:pStyle w:val="264"/>
              <w:spacing w:before="75"/>
              <w:ind w:left="10" w:right="192"/>
              <w:jc w:val="center"/>
              <w:rPr>
                <w:rFonts w:hint="eastAsia"/>
                <w:sz w:val="21"/>
                <w:szCs w:val="21"/>
                <w:highlight w:val="none"/>
              </w:rPr>
            </w:pPr>
            <w:r>
              <w:rPr>
                <w:rFonts w:hint="eastAsia"/>
                <w:b/>
                <w:bCs/>
                <w:sz w:val="21"/>
                <w:szCs w:val="21"/>
                <w:highlight w:val="none"/>
              </w:rPr>
              <w:t>签字或签章</w:t>
            </w:r>
          </w:p>
        </w:tc>
        <w:tc>
          <w:tcPr>
            <w:tcW w:w="3210" w:type="pct"/>
            <w:vAlign w:val="center"/>
          </w:tcPr>
          <w:p w14:paraId="580F00DC">
            <w:pPr>
              <w:pStyle w:val="264"/>
              <w:snapToGrid w:val="0"/>
              <w:ind w:left="11" w:right="193"/>
              <w:jc w:val="both"/>
              <w:rPr>
                <w:rFonts w:hint="eastAsia"/>
                <w:sz w:val="21"/>
                <w:szCs w:val="21"/>
                <w:highlight w:val="none"/>
              </w:rPr>
            </w:pPr>
            <w:r>
              <w:rPr>
                <w:rFonts w:hint="eastAsia"/>
                <w:b/>
                <w:bCs/>
                <w:sz w:val="21"/>
                <w:szCs w:val="21"/>
                <w:highlight w:val="none"/>
              </w:rPr>
              <w:t>投标文件上法定代表人或其委托代理人的签名</w:t>
            </w:r>
            <w:r>
              <w:rPr>
                <w:rFonts w:hint="eastAsia"/>
                <w:b/>
                <w:bCs/>
                <w:sz w:val="21"/>
                <w:szCs w:val="21"/>
                <w:highlight w:val="none"/>
                <w:lang w:eastAsia="zh-CN"/>
              </w:rPr>
              <w:t>（</w:t>
            </w:r>
            <w:r>
              <w:rPr>
                <w:rFonts w:hint="eastAsia"/>
                <w:b/>
                <w:bCs/>
                <w:sz w:val="21"/>
                <w:szCs w:val="21"/>
                <w:highlight w:val="none"/>
                <w:lang w:val="en-US" w:eastAsia="zh-CN"/>
              </w:rPr>
              <w:t>盖章</w:t>
            </w:r>
            <w:r>
              <w:rPr>
                <w:rFonts w:hint="eastAsia"/>
                <w:b/>
                <w:bCs/>
                <w:sz w:val="21"/>
                <w:szCs w:val="21"/>
                <w:highlight w:val="none"/>
                <w:lang w:eastAsia="zh-CN"/>
              </w:rPr>
              <w:t>）</w:t>
            </w:r>
            <w:r>
              <w:rPr>
                <w:rFonts w:hint="eastAsia"/>
                <w:b/>
                <w:bCs/>
                <w:sz w:val="21"/>
                <w:szCs w:val="21"/>
                <w:highlight w:val="none"/>
              </w:rPr>
              <w:t>、投标人的单位章盖章齐全，符合招标文件规定。</w:t>
            </w:r>
          </w:p>
        </w:tc>
      </w:tr>
      <w:tr w14:paraId="0B8A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68DED07B">
            <w:pPr>
              <w:rPr>
                <w:rFonts w:hint="eastAsia" w:ascii="宋体" w:hAnsi="宋体" w:cs="宋体"/>
                <w:highlight w:val="none"/>
              </w:rPr>
            </w:pPr>
          </w:p>
        </w:tc>
        <w:tc>
          <w:tcPr>
            <w:tcW w:w="436" w:type="pct"/>
            <w:vMerge w:val="continue"/>
            <w:vAlign w:val="center"/>
          </w:tcPr>
          <w:p w14:paraId="32736D9D">
            <w:pPr>
              <w:rPr>
                <w:rFonts w:hint="eastAsia" w:ascii="宋体" w:hAnsi="宋体" w:cs="宋体"/>
                <w:highlight w:val="none"/>
              </w:rPr>
            </w:pPr>
          </w:p>
        </w:tc>
        <w:tc>
          <w:tcPr>
            <w:tcW w:w="935" w:type="pct"/>
            <w:vAlign w:val="center"/>
          </w:tcPr>
          <w:p w14:paraId="3ABC2879">
            <w:pPr>
              <w:pStyle w:val="264"/>
              <w:spacing w:before="75"/>
              <w:ind w:left="10" w:right="192"/>
              <w:jc w:val="center"/>
              <w:rPr>
                <w:rFonts w:hint="eastAsia"/>
                <w:sz w:val="21"/>
                <w:szCs w:val="21"/>
                <w:highlight w:val="none"/>
              </w:rPr>
            </w:pPr>
            <w:r>
              <w:rPr>
                <w:rFonts w:hint="eastAsia"/>
                <w:b/>
                <w:bCs/>
                <w:sz w:val="21"/>
                <w:szCs w:val="21"/>
                <w:highlight w:val="none"/>
              </w:rPr>
              <w:t>最高投标限价</w:t>
            </w:r>
          </w:p>
        </w:tc>
        <w:tc>
          <w:tcPr>
            <w:tcW w:w="3210" w:type="pct"/>
            <w:vAlign w:val="center"/>
          </w:tcPr>
          <w:p w14:paraId="68E7956D">
            <w:pPr>
              <w:pStyle w:val="264"/>
              <w:snapToGrid w:val="0"/>
              <w:ind w:left="11" w:right="193"/>
              <w:jc w:val="both"/>
              <w:rPr>
                <w:rFonts w:hint="eastAsia"/>
                <w:sz w:val="21"/>
                <w:szCs w:val="21"/>
                <w:highlight w:val="none"/>
              </w:rPr>
            </w:pPr>
            <w:r>
              <w:rPr>
                <w:rFonts w:hint="eastAsia"/>
                <w:b/>
                <w:bCs/>
                <w:sz w:val="21"/>
                <w:szCs w:val="21"/>
                <w:highlight w:val="none"/>
              </w:rPr>
              <w:t>报价投标函中的报价未超过招标文件设定的最高投标限价。</w:t>
            </w:r>
          </w:p>
        </w:tc>
      </w:tr>
      <w:tr w14:paraId="7FFE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60611EB2">
            <w:pPr>
              <w:rPr>
                <w:rFonts w:hint="eastAsia" w:ascii="宋体" w:hAnsi="宋体" w:cs="宋体"/>
                <w:highlight w:val="none"/>
              </w:rPr>
            </w:pPr>
          </w:p>
        </w:tc>
        <w:tc>
          <w:tcPr>
            <w:tcW w:w="436" w:type="pct"/>
            <w:vMerge w:val="continue"/>
            <w:vAlign w:val="center"/>
          </w:tcPr>
          <w:p w14:paraId="44FFAF88">
            <w:pPr>
              <w:rPr>
                <w:rFonts w:hint="eastAsia" w:ascii="宋体" w:hAnsi="宋体" w:cs="宋体"/>
                <w:highlight w:val="none"/>
              </w:rPr>
            </w:pPr>
          </w:p>
        </w:tc>
        <w:tc>
          <w:tcPr>
            <w:tcW w:w="935" w:type="pct"/>
            <w:vAlign w:val="center"/>
          </w:tcPr>
          <w:p w14:paraId="4C814919">
            <w:pPr>
              <w:pStyle w:val="264"/>
              <w:spacing w:before="75"/>
              <w:ind w:left="10" w:right="192"/>
              <w:jc w:val="center"/>
              <w:rPr>
                <w:rFonts w:hint="eastAsia"/>
                <w:sz w:val="21"/>
                <w:szCs w:val="21"/>
                <w:highlight w:val="none"/>
              </w:rPr>
            </w:pPr>
            <w:r>
              <w:rPr>
                <w:rFonts w:hint="eastAsia"/>
                <w:b/>
                <w:bCs/>
                <w:sz w:val="21"/>
                <w:szCs w:val="21"/>
                <w:highlight w:val="none"/>
              </w:rPr>
              <w:t>确定具体数值</w:t>
            </w:r>
          </w:p>
        </w:tc>
        <w:tc>
          <w:tcPr>
            <w:tcW w:w="3210" w:type="pct"/>
            <w:vAlign w:val="center"/>
          </w:tcPr>
          <w:p w14:paraId="034635E0">
            <w:pPr>
              <w:pStyle w:val="264"/>
              <w:snapToGrid w:val="0"/>
              <w:ind w:left="11" w:right="193"/>
              <w:jc w:val="both"/>
              <w:rPr>
                <w:rFonts w:hint="eastAsia"/>
                <w:sz w:val="21"/>
                <w:szCs w:val="21"/>
                <w:highlight w:val="none"/>
              </w:rPr>
            </w:pPr>
            <w:r>
              <w:rPr>
                <w:rFonts w:hint="eastAsia"/>
                <w:b/>
                <w:bCs/>
                <w:sz w:val="21"/>
                <w:szCs w:val="21"/>
                <w:highlight w:val="none"/>
              </w:rPr>
              <w:t>报价投标函中报价的大写金额能够确定具体数值。</w:t>
            </w:r>
          </w:p>
        </w:tc>
      </w:tr>
      <w:tr w14:paraId="5709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6B446968">
            <w:pPr>
              <w:rPr>
                <w:rFonts w:hint="eastAsia" w:ascii="宋体" w:hAnsi="宋体" w:cs="宋体"/>
                <w:highlight w:val="none"/>
              </w:rPr>
            </w:pPr>
          </w:p>
        </w:tc>
        <w:tc>
          <w:tcPr>
            <w:tcW w:w="436" w:type="pct"/>
            <w:vMerge w:val="continue"/>
            <w:vAlign w:val="center"/>
          </w:tcPr>
          <w:p w14:paraId="44684249">
            <w:pPr>
              <w:rPr>
                <w:rFonts w:hint="eastAsia" w:ascii="宋体" w:hAnsi="宋体" w:cs="宋体"/>
                <w:highlight w:val="none"/>
              </w:rPr>
            </w:pPr>
          </w:p>
        </w:tc>
        <w:tc>
          <w:tcPr>
            <w:tcW w:w="935" w:type="pct"/>
            <w:vAlign w:val="center"/>
          </w:tcPr>
          <w:p w14:paraId="00CF1D10">
            <w:pPr>
              <w:pStyle w:val="264"/>
              <w:spacing w:before="75"/>
              <w:ind w:left="10" w:right="192"/>
              <w:jc w:val="center"/>
              <w:rPr>
                <w:rFonts w:hint="eastAsia"/>
                <w:sz w:val="21"/>
                <w:szCs w:val="21"/>
                <w:highlight w:val="none"/>
              </w:rPr>
            </w:pPr>
            <w:r>
              <w:rPr>
                <w:rFonts w:hint="eastAsia"/>
                <w:b/>
                <w:bCs/>
                <w:sz w:val="21"/>
                <w:szCs w:val="21"/>
                <w:highlight w:val="none"/>
              </w:rPr>
              <w:t>备选投标</w:t>
            </w:r>
          </w:p>
        </w:tc>
        <w:tc>
          <w:tcPr>
            <w:tcW w:w="3210" w:type="pct"/>
            <w:vAlign w:val="center"/>
          </w:tcPr>
          <w:p w14:paraId="1B545D29">
            <w:pPr>
              <w:pStyle w:val="264"/>
              <w:snapToGrid w:val="0"/>
              <w:ind w:left="11" w:right="193"/>
              <w:rPr>
                <w:rFonts w:hint="eastAsia"/>
                <w:sz w:val="21"/>
                <w:szCs w:val="21"/>
                <w:highlight w:val="none"/>
              </w:rPr>
            </w:pPr>
            <w:r>
              <w:rPr>
                <w:rFonts w:hint="eastAsia"/>
                <w:b/>
                <w:bCs/>
                <w:sz w:val="21"/>
                <w:szCs w:val="21"/>
                <w:highlight w:val="none"/>
              </w:rPr>
              <w:t>同一投标人未提交两个以上不同的投标报价，但招标文件要求提交备选投标的除外</w:t>
            </w:r>
          </w:p>
        </w:tc>
      </w:tr>
      <w:tr w14:paraId="6919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tcBorders>
              <w:bottom w:val="single" w:color="auto" w:sz="4" w:space="0"/>
            </w:tcBorders>
            <w:vAlign w:val="center"/>
          </w:tcPr>
          <w:p w14:paraId="7BF7BB5A">
            <w:pPr>
              <w:rPr>
                <w:rFonts w:hint="eastAsia" w:ascii="宋体" w:hAnsi="宋体" w:cs="宋体"/>
                <w:highlight w:val="none"/>
              </w:rPr>
            </w:pPr>
          </w:p>
        </w:tc>
        <w:tc>
          <w:tcPr>
            <w:tcW w:w="436" w:type="pct"/>
            <w:vMerge w:val="continue"/>
            <w:tcBorders>
              <w:bottom w:val="single" w:color="auto" w:sz="4" w:space="0"/>
            </w:tcBorders>
            <w:vAlign w:val="center"/>
          </w:tcPr>
          <w:p w14:paraId="33F66D6C">
            <w:pPr>
              <w:rPr>
                <w:rFonts w:hint="eastAsia" w:ascii="宋体" w:hAnsi="宋体" w:cs="宋体"/>
                <w:highlight w:val="none"/>
              </w:rPr>
            </w:pPr>
          </w:p>
        </w:tc>
        <w:tc>
          <w:tcPr>
            <w:tcW w:w="935" w:type="pct"/>
            <w:tcBorders>
              <w:bottom w:val="single" w:color="auto" w:sz="4" w:space="0"/>
            </w:tcBorders>
            <w:vAlign w:val="center"/>
          </w:tcPr>
          <w:p w14:paraId="4D2A1B4F">
            <w:pPr>
              <w:pStyle w:val="264"/>
              <w:spacing w:before="75"/>
              <w:ind w:left="10" w:right="192"/>
              <w:jc w:val="center"/>
              <w:rPr>
                <w:rFonts w:hint="eastAsia"/>
                <w:b/>
                <w:bCs/>
                <w:sz w:val="21"/>
                <w:szCs w:val="21"/>
                <w:highlight w:val="none"/>
              </w:rPr>
            </w:pPr>
            <w:r>
              <w:rPr>
                <w:rFonts w:hint="eastAsia"/>
                <w:b/>
                <w:bCs/>
                <w:sz w:val="21"/>
                <w:szCs w:val="21"/>
                <w:highlight w:val="none"/>
              </w:rPr>
              <w:t>工程量固化</w:t>
            </w:r>
          </w:p>
          <w:p w14:paraId="48C09125">
            <w:pPr>
              <w:pStyle w:val="264"/>
              <w:spacing w:before="75"/>
              <w:ind w:left="10" w:right="192"/>
              <w:jc w:val="center"/>
              <w:rPr>
                <w:rFonts w:hint="eastAsia"/>
                <w:b/>
                <w:bCs/>
                <w:sz w:val="21"/>
                <w:szCs w:val="21"/>
                <w:highlight w:val="none"/>
              </w:rPr>
            </w:pPr>
            <w:r>
              <w:rPr>
                <w:rFonts w:hint="eastAsia"/>
                <w:b/>
                <w:bCs/>
                <w:sz w:val="21"/>
                <w:szCs w:val="21"/>
                <w:highlight w:val="none"/>
              </w:rPr>
              <w:t>清单</w:t>
            </w:r>
          </w:p>
          <w:p w14:paraId="41CBEAE0">
            <w:pPr>
              <w:pStyle w:val="264"/>
              <w:spacing w:before="75"/>
              <w:ind w:left="10" w:right="192"/>
              <w:jc w:val="center"/>
              <w:rPr>
                <w:rFonts w:hint="eastAsia"/>
                <w:b/>
                <w:bCs/>
                <w:sz w:val="21"/>
                <w:szCs w:val="21"/>
                <w:highlight w:val="none"/>
              </w:rPr>
            </w:pPr>
          </w:p>
        </w:tc>
        <w:tc>
          <w:tcPr>
            <w:tcW w:w="3210" w:type="pct"/>
            <w:tcBorders>
              <w:bottom w:val="single" w:color="auto" w:sz="4" w:space="0"/>
            </w:tcBorders>
            <w:vAlign w:val="center"/>
          </w:tcPr>
          <w:p w14:paraId="3740EA24">
            <w:pPr>
              <w:pStyle w:val="264"/>
              <w:snapToGrid w:val="0"/>
              <w:ind w:left="11" w:right="193"/>
              <w:jc w:val="both"/>
              <w:rPr>
                <w:rFonts w:hint="eastAsia"/>
                <w:b/>
                <w:bCs/>
                <w:sz w:val="21"/>
                <w:szCs w:val="21"/>
                <w:highlight w:val="none"/>
              </w:rPr>
            </w:pPr>
            <w:r>
              <w:rPr>
                <w:rFonts w:hint="eastAsia"/>
                <w:b/>
                <w:bCs/>
                <w:sz w:val="21"/>
                <w:szCs w:val="21"/>
                <w:highlight w:val="none"/>
              </w:rPr>
              <w:t>投标人填写</w:t>
            </w:r>
            <w:r>
              <w:rPr>
                <w:rFonts w:hint="eastAsia"/>
                <w:b/>
                <w:bCs/>
                <w:sz w:val="21"/>
                <w:szCs w:val="21"/>
                <w:highlight w:val="none"/>
                <w:lang w:val="en-US"/>
              </w:rPr>
              <w:t>了</w:t>
            </w:r>
            <w:r>
              <w:rPr>
                <w:rFonts w:hint="eastAsia"/>
                <w:b/>
                <w:bCs/>
                <w:sz w:val="21"/>
                <w:szCs w:val="21"/>
                <w:highlight w:val="none"/>
              </w:rPr>
              <w:t>工程量固化清单，填写完毕的工程量固化清单未对工程量固化清单电子文件中的数据、格式和运算定义进行修改；工程量固化清单中的投标报价和报价投标函大写金额报价一致。</w:t>
            </w:r>
          </w:p>
        </w:tc>
      </w:tr>
      <w:tr w14:paraId="03D5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restart"/>
            <w:tcBorders>
              <w:top w:val="single" w:color="auto" w:sz="4" w:space="0"/>
              <w:left w:val="single" w:color="auto" w:sz="4" w:space="0"/>
            </w:tcBorders>
            <w:vAlign w:val="center"/>
          </w:tcPr>
          <w:p w14:paraId="46F9C3C8">
            <w:pPr>
              <w:adjustRightInd w:val="0"/>
              <w:jc w:val="center"/>
              <w:textAlignment w:val="baseline"/>
              <w:rPr>
                <w:rFonts w:hint="eastAsia" w:ascii="宋体" w:hAnsi="宋体" w:cs="宋体"/>
                <w:highlight w:val="none"/>
              </w:rPr>
            </w:pPr>
            <w:r>
              <w:rPr>
                <w:rFonts w:hint="eastAsia" w:ascii="宋体" w:hAnsi="宋体" w:cs="宋体"/>
                <w:highlight w:val="none"/>
              </w:rPr>
              <w:t>2.1.2</w:t>
            </w:r>
          </w:p>
        </w:tc>
        <w:tc>
          <w:tcPr>
            <w:tcW w:w="436" w:type="pct"/>
            <w:vMerge w:val="restart"/>
            <w:tcBorders>
              <w:top w:val="single" w:color="auto" w:sz="4" w:space="0"/>
            </w:tcBorders>
            <w:vAlign w:val="center"/>
          </w:tcPr>
          <w:p w14:paraId="289BB621">
            <w:pPr>
              <w:adjustRightInd w:val="0"/>
              <w:jc w:val="center"/>
              <w:textAlignment w:val="baseline"/>
              <w:rPr>
                <w:rFonts w:hint="eastAsia" w:ascii="宋体" w:hAnsi="宋体" w:cs="宋体"/>
                <w:highlight w:val="none"/>
              </w:rPr>
            </w:pPr>
            <w:r>
              <w:rPr>
                <w:rFonts w:hint="eastAsia" w:ascii="宋体" w:hAnsi="宋体" w:cs="宋体"/>
                <w:highlight w:val="none"/>
              </w:rPr>
              <w:t>资格评审标准</w:t>
            </w:r>
          </w:p>
        </w:tc>
        <w:tc>
          <w:tcPr>
            <w:tcW w:w="935" w:type="pct"/>
            <w:tcBorders>
              <w:top w:val="single" w:color="auto" w:sz="4" w:space="0"/>
              <w:right w:val="single" w:color="auto" w:sz="4" w:space="0"/>
            </w:tcBorders>
            <w:vAlign w:val="center"/>
          </w:tcPr>
          <w:p w14:paraId="29C16A61">
            <w:pPr>
              <w:pStyle w:val="264"/>
              <w:spacing w:before="75"/>
              <w:ind w:left="10" w:right="192"/>
              <w:jc w:val="center"/>
              <w:rPr>
                <w:rFonts w:hint="eastAsia"/>
                <w:b/>
                <w:bCs/>
                <w:sz w:val="21"/>
                <w:szCs w:val="21"/>
                <w:highlight w:val="none"/>
              </w:rPr>
            </w:pPr>
            <w:r>
              <w:rPr>
                <w:rFonts w:hint="eastAsia"/>
                <w:b/>
                <w:bCs/>
                <w:sz w:val="21"/>
                <w:szCs w:val="21"/>
                <w:highlight w:val="none"/>
              </w:rPr>
              <w:t>资质条件</w:t>
            </w:r>
          </w:p>
        </w:tc>
        <w:tc>
          <w:tcPr>
            <w:tcW w:w="3210" w:type="pct"/>
            <w:tcBorders>
              <w:top w:val="single" w:color="auto" w:sz="4" w:space="0"/>
              <w:left w:val="single" w:color="auto" w:sz="4" w:space="0"/>
              <w:right w:val="single" w:color="auto" w:sz="4" w:space="0"/>
            </w:tcBorders>
            <w:vAlign w:val="center"/>
          </w:tcPr>
          <w:p w14:paraId="67775880">
            <w:pPr>
              <w:pStyle w:val="264"/>
              <w:snapToGrid w:val="0"/>
              <w:ind w:left="11" w:right="193"/>
              <w:rPr>
                <w:rFonts w:hint="eastAsia"/>
                <w:b/>
                <w:bCs/>
                <w:sz w:val="21"/>
                <w:szCs w:val="21"/>
                <w:highlight w:val="none"/>
                <w:lang w:val="en-US"/>
              </w:rPr>
            </w:pPr>
            <w:r>
              <w:rPr>
                <w:rFonts w:hint="eastAsia"/>
                <w:b/>
                <w:bCs/>
                <w:sz w:val="21"/>
                <w:szCs w:val="21"/>
                <w:highlight w:val="none"/>
                <w:lang w:val="en-US"/>
              </w:rPr>
              <w:t>详见招标公告</w:t>
            </w:r>
          </w:p>
        </w:tc>
      </w:tr>
      <w:tr w14:paraId="25D0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continue"/>
            <w:tcBorders>
              <w:left w:val="single" w:color="auto" w:sz="4" w:space="0"/>
            </w:tcBorders>
            <w:vAlign w:val="center"/>
          </w:tcPr>
          <w:p w14:paraId="2CB0CA08">
            <w:pPr>
              <w:rPr>
                <w:rFonts w:hint="eastAsia" w:ascii="宋体" w:hAnsi="宋体" w:cs="宋体"/>
                <w:highlight w:val="none"/>
              </w:rPr>
            </w:pPr>
          </w:p>
        </w:tc>
        <w:tc>
          <w:tcPr>
            <w:tcW w:w="436" w:type="pct"/>
            <w:vMerge w:val="continue"/>
            <w:vAlign w:val="center"/>
          </w:tcPr>
          <w:p w14:paraId="1F22BD0D">
            <w:pPr>
              <w:rPr>
                <w:rFonts w:hint="eastAsia" w:ascii="宋体" w:hAnsi="宋体" w:cs="宋体"/>
                <w:highlight w:val="none"/>
              </w:rPr>
            </w:pPr>
          </w:p>
        </w:tc>
        <w:tc>
          <w:tcPr>
            <w:tcW w:w="935" w:type="pct"/>
            <w:tcBorders>
              <w:right w:val="single" w:color="auto" w:sz="4" w:space="0"/>
            </w:tcBorders>
            <w:vAlign w:val="center"/>
          </w:tcPr>
          <w:p w14:paraId="5EC99D79">
            <w:pPr>
              <w:pStyle w:val="264"/>
              <w:spacing w:before="75"/>
              <w:ind w:left="10" w:right="192"/>
              <w:jc w:val="center"/>
              <w:rPr>
                <w:rFonts w:hint="eastAsia"/>
                <w:b/>
                <w:bCs/>
                <w:sz w:val="21"/>
                <w:szCs w:val="21"/>
                <w:highlight w:val="none"/>
              </w:rPr>
            </w:pPr>
            <w:r>
              <w:rPr>
                <w:rFonts w:hint="eastAsia"/>
                <w:b/>
                <w:bCs/>
                <w:sz w:val="21"/>
                <w:szCs w:val="21"/>
                <w:highlight w:val="none"/>
              </w:rPr>
              <w:t>业绩要求</w:t>
            </w:r>
          </w:p>
        </w:tc>
        <w:tc>
          <w:tcPr>
            <w:tcW w:w="3210" w:type="pct"/>
            <w:tcBorders>
              <w:left w:val="single" w:color="auto" w:sz="4" w:space="0"/>
              <w:right w:val="single" w:color="auto" w:sz="4" w:space="0"/>
            </w:tcBorders>
            <w:vAlign w:val="center"/>
          </w:tcPr>
          <w:p w14:paraId="2575B47F">
            <w:pPr>
              <w:pStyle w:val="264"/>
              <w:snapToGrid w:val="0"/>
              <w:ind w:left="11" w:right="193"/>
              <w:rPr>
                <w:rFonts w:hint="eastAsia"/>
                <w:b/>
                <w:bCs/>
                <w:sz w:val="21"/>
                <w:szCs w:val="21"/>
                <w:highlight w:val="none"/>
              </w:rPr>
            </w:pPr>
            <w:r>
              <w:rPr>
                <w:rFonts w:hint="eastAsia"/>
                <w:b/>
                <w:bCs/>
                <w:sz w:val="21"/>
                <w:szCs w:val="21"/>
                <w:highlight w:val="none"/>
                <w:lang w:val="en-US"/>
              </w:rPr>
              <w:t>详见招标公告</w:t>
            </w:r>
          </w:p>
        </w:tc>
      </w:tr>
      <w:tr w14:paraId="03FB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418" w:type="pct"/>
            <w:vMerge w:val="continue"/>
            <w:tcBorders>
              <w:left w:val="single" w:color="auto" w:sz="4" w:space="0"/>
            </w:tcBorders>
            <w:vAlign w:val="center"/>
          </w:tcPr>
          <w:p w14:paraId="6C54F5D8">
            <w:pPr>
              <w:rPr>
                <w:rFonts w:hint="eastAsia" w:ascii="宋体" w:hAnsi="宋体" w:cs="宋体"/>
                <w:highlight w:val="none"/>
              </w:rPr>
            </w:pPr>
          </w:p>
        </w:tc>
        <w:tc>
          <w:tcPr>
            <w:tcW w:w="436" w:type="pct"/>
            <w:vMerge w:val="continue"/>
            <w:vAlign w:val="center"/>
          </w:tcPr>
          <w:p w14:paraId="0F0F02FD">
            <w:pPr>
              <w:rPr>
                <w:rFonts w:hint="eastAsia" w:ascii="宋体" w:hAnsi="宋体" w:cs="宋体"/>
                <w:highlight w:val="none"/>
              </w:rPr>
            </w:pPr>
          </w:p>
        </w:tc>
        <w:tc>
          <w:tcPr>
            <w:tcW w:w="935" w:type="pct"/>
            <w:tcBorders>
              <w:right w:val="single" w:color="auto" w:sz="4" w:space="0"/>
            </w:tcBorders>
          </w:tcPr>
          <w:p w14:paraId="02812794">
            <w:pPr>
              <w:pStyle w:val="264"/>
              <w:spacing w:before="75"/>
              <w:ind w:left="10" w:right="192"/>
              <w:jc w:val="center"/>
              <w:rPr>
                <w:rFonts w:hint="eastAsia"/>
                <w:b/>
                <w:bCs/>
                <w:sz w:val="21"/>
                <w:szCs w:val="21"/>
                <w:highlight w:val="none"/>
              </w:rPr>
            </w:pPr>
            <w:r>
              <w:rPr>
                <w:rFonts w:hint="eastAsia"/>
                <w:b/>
                <w:bCs/>
                <w:sz w:val="21"/>
                <w:szCs w:val="21"/>
                <w:highlight w:val="none"/>
              </w:rPr>
              <w:t>信誉要求</w:t>
            </w:r>
          </w:p>
        </w:tc>
        <w:tc>
          <w:tcPr>
            <w:tcW w:w="3210" w:type="pct"/>
            <w:tcBorders>
              <w:left w:val="single" w:color="auto" w:sz="4" w:space="0"/>
              <w:right w:val="single" w:color="auto" w:sz="4" w:space="0"/>
            </w:tcBorders>
            <w:vAlign w:val="center"/>
          </w:tcPr>
          <w:p w14:paraId="6246815D">
            <w:pPr>
              <w:pStyle w:val="264"/>
              <w:snapToGrid w:val="0"/>
              <w:ind w:left="11" w:right="193"/>
              <w:rPr>
                <w:rFonts w:hint="eastAsia"/>
                <w:b/>
                <w:bCs/>
                <w:sz w:val="21"/>
                <w:szCs w:val="21"/>
                <w:highlight w:val="none"/>
              </w:rPr>
            </w:pPr>
            <w:r>
              <w:rPr>
                <w:rFonts w:hint="eastAsia"/>
                <w:b/>
                <w:bCs/>
                <w:sz w:val="21"/>
                <w:szCs w:val="21"/>
                <w:highlight w:val="none"/>
                <w:lang w:val="en-US"/>
              </w:rPr>
              <w:t>详见招标公告</w:t>
            </w:r>
          </w:p>
        </w:tc>
      </w:tr>
      <w:tr w14:paraId="5A98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418" w:type="pct"/>
            <w:vMerge w:val="continue"/>
            <w:tcBorders>
              <w:left w:val="single" w:color="auto" w:sz="4" w:space="0"/>
              <w:bottom w:val="single" w:color="auto" w:sz="4" w:space="0"/>
            </w:tcBorders>
            <w:vAlign w:val="center"/>
          </w:tcPr>
          <w:p w14:paraId="266A31FC">
            <w:pPr>
              <w:rPr>
                <w:rFonts w:hint="eastAsia" w:ascii="宋体" w:hAnsi="宋体" w:cs="宋体"/>
                <w:highlight w:val="none"/>
              </w:rPr>
            </w:pPr>
          </w:p>
        </w:tc>
        <w:tc>
          <w:tcPr>
            <w:tcW w:w="436" w:type="pct"/>
            <w:vMerge w:val="continue"/>
            <w:tcBorders>
              <w:bottom w:val="single" w:color="auto" w:sz="4" w:space="0"/>
            </w:tcBorders>
            <w:vAlign w:val="center"/>
          </w:tcPr>
          <w:p w14:paraId="4C5BC7DD">
            <w:pPr>
              <w:rPr>
                <w:rFonts w:hint="eastAsia" w:ascii="宋体" w:hAnsi="宋体" w:cs="宋体"/>
                <w:highlight w:val="none"/>
              </w:rPr>
            </w:pPr>
          </w:p>
        </w:tc>
        <w:tc>
          <w:tcPr>
            <w:tcW w:w="935" w:type="pct"/>
            <w:tcBorders>
              <w:bottom w:val="single" w:color="auto" w:sz="4" w:space="0"/>
              <w:right w:val="single" w:color="auto" w:sz="4" w:space="0"/>
            </w:tcBorders>
          </w:tcPr>
          <w:p w14:paraId="4FACA558">
            <w:pPr>
              <w:pStyle w:val="264"/>
              <w:spacing w:before="75"/>
              <w:ind w:left="10" w:right="192"/>
              <w:jc w:val="center"/>
              <w:rPr>
                <w:rFonts w:hint="eastAsia"/>
                <w:b/>
                <w:bCs/>
                <w:sz w:val="21"/>
                <w:szCs w:val="21"/>
                <w:highlight w:val="none"/>
              </w:rPr>
            </w:pPr>
            <w:r>
              <w:rPr>
                <w:rFonts w:hint="eastAsia"/>
                <w:b/>
                <w:bCs/>
                <w:sz w:val="21"/>
                <w:szCs w:val="21"/>
                <w:highlight w:val="none"/>
              </w:rPr>
              <w:t>项目经理、项目总工、专职安全员资格</w:t>
            </w:r>
            <w:r>
              <w:rPr>
                <w:rFonts w:hint="eastAsia"/>
                <w:b/>
                <w:bCs/>
                <w:sz w:val="21"/>
                <w:szCs w:val="21"/>
                <w:highlight w:val="none"/>
                <w:lang w:val="en-US"/>
              </w:rPr>
              <w:t>要求</w:t>
            </w:r>
          </w:p>
        </w:tc>
        <w:tc>
          <w:tcPr>
            <w:tcW w:w="3210" w:type="pct"/>
            <w:tcBorders>
              <w:left w:val="single" w:color="auto" w:sz="4" w:space="0"/>
              <w:right w:val="single" w:color="auto" w:sz="4" w:space="0"/>
            </w:tcBorders>
            <w:vAlign w:val="center"/>
          </w:tcPr>
          <w:p w14:paraId="6C1D0CAC">
            <w:pPr>
              <w:pStyle w:val="264"/>
              <w:snapToGrid w:val="0"/>
              <w:ind w:left="11" w:right="193"/>
              <w:rPr>
                <w:rFonts w:hint="eastAsia"/>
                <w:b/>
                <w:bCs/>
                <w:sz w:val="21"/>
                <w:szCs w:val="21"/>
                <w:highlight w:val="none"/>
              </w:rPr>
            </w:pPr>
            <w:r>
              <w:rPr>
                <w:rFonts w:hint="eastAsia"/>
                <w:b/>
                <w:bCs/>
                <w:sz w:val="21"/>
                <w:szCs w:val="21"/>
                <w:highlight w:val="none"/>
                <w:lang w:val="en-US"/>
              </w:rPr>
              <w:t>详见招标公告</w:t>
            </w:r>
          </w:p>
        </w:tc>
      </w:tr>
      <w:tr w14:paraId="3F77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continue"/>
            <w:tcBorders>
              <w:top w:val="single" w:color="auto" w:sz="4" w:space="0"/>
              <w:left w:val="single" w:color="auto" w:sz="4" w:space="0"/>
              <w:bottom w:val="single" w:color="auto" w:sz="4" w:space="0"/>
            </w:tcBorders>
            <w:vAlign w:val="center"/>
          </w:tcPr>
          <w:p w14:paraId="56E096FE">
            <w:pPr>
              <w:rPr>
                <w:rFonts w:hint="eastAsia" w:ascii="宋体" w:hAnsi="宋体" w:cs="宋体"/>
                <w:highlight w:val="none"/>
              </w:rPr>
            </w:pPr>
          </w:p>
        </w:tc>
        <w:tc>
          <w:tcPr>
            <w:tcW w:w="436" w:type="pct"/>
            <w:vMerge w:val="continue"/>
            <w:tcBorders>
              <w:top w:val="single" w:color="auto" w:sz="4" w:space="0"/>
              <w:bottom w:val="single" w:color="auto" w:sz="4" w:space="0"/>
            </w:tcBorders>
            <w:vAlign w:val="center"/>
          </w:tcPr>
          <w:p w14:paraId="62A0EF45">
            <w:pPr>
              <w:rPr>
                <w:rFonts w:hint="eastAsia" w:ascii="宋体" w:hAnsi="宋体" w:cs="宋体"/>
                <w:highlight w:val="none"/>
              </w:rPr>
            </w:pPr>
          </w:p>
        </w:tc>
        <w:tc>
          <w:tcPr>
            <w:tcW w:w="935" w:type="pct"/>
            <w:tcBorders>
              <w:top w:val="single" w:color="auto" w:sz="4" w:space="0"/>
              <w:bottom w:val="single" w:color="auto" w:sz="4" w:space="0"/>
            </w:tcBorders>
          </w:tcPr>
          <w:p w14:paraId="55C9BD12">
            <w:pPr>
              <w:pStyle w:val="264"/>
              <w:spacing w:before="75"/>
              <w:ind w:left="10" w:right="192"/>
              <w:jc w:val="center"/>
              <w:rPr>
                <w:rFonts w:hint="eastAsia"/>
                <w:b/>
                <w:bCs/>
                <w:sz w:val="21"/>
                <w:szCs w:val="21"/>
                <w:highlight w:val="none"/>
              </w:rPr>
            </w:pPr>
            <w:r>
              <w:rPr>
                <w:rFonts w:hint="eastAsia"/>
                <w:b/>
                <w:bCs/>
                <w:sz w:val="21"/>
                <w:szCs w:val="21"/>
                <w:highlight w:val="none"/>
              </w:rPr>
              <w:t>其他要求</w:t>
            </w:r>
          </w:p>
        </w:tc>
        <w:tc>
          <w:tcPr>
            <w:tcW w:w="3210" w:type="pct"/>
            <w:tcBorders>
              <w:bottom w:val="single" w:color="auto" w:sz="4" w:space="0"/>
              <w:right w:val="single" w:color="auto" w:sz="4" w:space="0"/>
            </w:tcBorders>
          </w:tcPr>
          <w:p w14:paraId="7F0197DD">
            <w:pPr>
              <w:pStyle w:val="264"/>
              <w:snapToGrid w:val="0"/>
              <w:ind w:left="11" w:right="193"/>
              <w:rPr>
                <w:rFonts w:hint="eastAsia"/>
                <w:b/>
                <w:bCs/>
                <w:sz w:val="21"/>
                <w:szCs w:val="21"/>
                <w:highlight w:val="none"/>
              </w:rPr>
            </w:pPr>
            <w:r>
              <w:rPr>
                <w:rFonts w:hint="eastAsia"/>
                <w:b/>
                <w:bCs/>
                <w:sz w:val="21"/>
                <w:szCs w:val="21"/>
                <w:highlight w:val="none"/>
              </w:rPr>
              <w:t>投标人的其他要求符合招标文件规定。</w:t>
            </w:r>
          </w:p>
        </w:tc>
      </w:tr>
      <w:tr w14:paraId="6C5E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continue"/>
            <w:tcBorders>
              <w:top w:val="single" w:color="auto" w:sz="4" w:space="0"/>
              <w:left w:val="single" w:color="auto" w:sz="4" w:space="0"/>
              <w:bottom w:val="single" w:color="auto" w:sz="4" w:space="0"/>
            </w:tcBorders>
            <w:vAlign w:val="center"/>
          </w:tcPr>
          <w:p w14:paraId="5793CB33">
            <w:pPr>
              <w:rPr>
                <w:rFonts w:hint="eastAsia" w:ascii="宋体" w:hAnsi="宋体" w:cs="宋体"/>
                <w:highlight w:val="none"/>
              </w:rPr>
            </w:pPr>
          </w:p>
        </w:tc>
        <w:tc>
          <w:tcPr>
            <w:tcW w:w="436" w:type="pct"/>
            <w:vMerge w:val="continue"/>
            <w:tcBorders>
              <w:top w:val="single" w:color="auto" w:sz="4" w:space="0"/>
              <w:bottom w:val="single" w:color="auto" w:sz="4" w:space="0"/>
            </w:tcBorders>
            <w:vAlign w:val="center"/>
          </w:tcPr>
          <w:p w14:paraId="74BC677E">
            <w:pPr>
              <w:rPr>
                <w:rFonts w:hint="eastAsia" w:ascii="宋体" w:hAnsi="宋体" w:cs="宋体"/>
                <w:highlight w:val="none"/>
              </w:rPr>
            </w:pPr>
          </w:p>
        </w:tc>
        <w:tc>
          <w:tcPr>
            <w:tcW w:w="935" w:type="pct"/>
            <w:tcBorders>
              <w:top w:val="single" w:color="auto" w:sz="4" w:space="0"/>
              <w:bottom w:val="single" w:color="auto" w:sz="4" w:space="0"/>
            </w:tcBorders>
            <w:vAlign w:val="center"/>
          </w:tcPr>
          <w:p w14:paraId="4337F24B">
            <w:pPr>
              <w:pStyle w:val="264"/>
              <w:spacing w:before="75"/>
              <w:ind w:left="10" w:right="192"/>
              <w:jc w:val="center"/>
              <w:rPr>
                <w:rFonts w:hint="eastAsia"/>
                <w:b/>
                <w:bCs/>
                <w:sz w:val="21"/>
                <w:szCs w:val="21"/>
                <w:highlight w:val="none"/>
              </w:rPr>
            </w:pPr>
            <w:r>
              <w:rPr>
                <w:rFonts w:hint="eastAsia"/>
                <w:b/>
                <w:bCs/>
                <w:sz w:val="21"/>
                <w:szCs w:val="21"/>
                <w:highlight w:val="none"/>
              </w:rPr>
              <w:t>不存在情形</w:t>
            </w:r>
          </w:p>
        </w:tc>
        <w:tc>
          <w:tcPr>
            <w:tcW w:w="3210" w:type="pct"/>
            <w:tcBorders>
              <w:top w:val="single" w:color="auto" w:sz="4" w:space="0"/>
              <w:bottom w:val="single" w:color="auto" w:sz="4" w:space="0"/>
            </w:tcBorders>
          </w:tcPr>
          <w:p w14:paraId="2FF477BB">
            <w:pPr>
              <w:pStyle w:val="264"/>
              <w:snapToGrid w:val="0"/>
              <w:ind w:left="11" w:right="193"/>
              <w:rPr>
                <w:rFonts w:hint="eastAsia"/>
                <w:b/>
                <w:bCs/>
                <w:sz w:val="21"/>
                <w:szCs w:val="21"/>
                <w:highlight w:val="none"/>
              </w:rPr>
            </w:pPr>
            <w:r>
              <w:rPr>
                <w:rFonts w:hint="eastAsia"/>
                <w:b/>
                <w:bCs/>
                <w:sz w:val="21"/>
                <w:szCs w:val="21"/>
                <w:highlight w:val="none"/>
              </w:rPr>
              <w:t>投标人不存在第二章“投标人须知”第</w:t>
            </w:r>
            <w:r>
              <w:rPr>
                <w:rFonts w:hint="eastAsia"/>
                <w:b/>
                <w:bCs/>
                <w:sz w:val="21"/>
                <w:szCs w:val="21"/>
                <w:highlight w:val="none"/>
                <w:lang w:val="en-US"/>
              </w:rPr>
              <w:t>1.4.</w:t>
            </w:r>
            <w:r>
              <w:rPr>
                <w:rFonts w:hint="eastAsia"/>
                <w:b/>
                <w:bCs/>
                <w:sz w:val="21"/>
                <w:szCs w:val="21"/>
                <w:highlight w:val="none"/>
              </w:rPr>
              <w:t>3项规定的任何一种情形。</w:t>
            </w:r>
          </w:p>
        </w:tc>
      </w:tr>
    </w:tbl>
    <w:p w14:paraId="5A37FE6D">
      <w:pPr>
        <w:adjustRightInd w:val="0"/>
        <w:spacing w:line="440" w:lineRule="exact"/>
        <w:jc w:val="center"/>
        <w:textAlignment w:val="baseline"/>
        <w:rPr>
          <w:rFonts w:hint="eastAsia" w:ascii="宋体" w:hAnsi="宋体"/>
          <w:b/>
          <w:highlight w:val="none"/>
        </w:rPr>
        <w:sectPr>
          <w:footerReference r:id="rId5" w:type="default"/>
          <w:type w:val="continuous"/>
          <w:pgSz w:w="11922" w:h="16838"/>
          <w:pgMar w:top="1077" w:right="1134" w:bottom="1077" w:left="1134" w:header="720" w:footer="720" w:gutter="0"/>
          <w:paperSrc w:first="7" w:other="7"/>
          <w:pgNumType w:fmt="decimal"/>
          <w:cols w:space="0" w:num="1"/>
        </w:sectPr>
      </w:pPr>
    </w:p>
    <w:tbl>
      <w:tblPr>
        <w:tblStyle w:val="52"/>
        <w:tblW w:w="9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418"/>
        <w:gridCol w:w="1843"/>
        <w:gridCol w:w="5589"/>
      </w:tblGrid>
      <w:tr w14:paraId="19B0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063" w:type="dxa"/>
            <w:gridSpan w:val="3"/>
            <w:vAlign w:val="center"/>
          </w:tcPr>
          <w:p w14:paraId="137BDEC8">
            <w:pPr>
              <w:adjustRightInd w:val="0"/>
              <w:snapToGrid w:val="0"/>
              <w:jc w:val="center"/>
              <w:textAlignment w:val="baseline"/>
              <w:rPr>
                <w:rFonts w:hint="eastAsia" w:ascii="宋体" w:hAnsi="宋体"/>
                <w:b/>
                <w:highlight w:val="none"/>
              </w:rPr>
            </w:pPr>
            <w:bookmarkStart w:id="63" w:name="_Hlk141379602"/>
            <w:r>
              <w:rPr>
                <w:rFonts w:ascii="宋体" w:hAnsi="宋体"/>
                <w:b/>
                <w:highlight w:val="none"/>
              </w:rPr>
              <w:t>条款</w:t>
            </w:r>
            <w:r>
              <w:rPr>
                <w:rFonts w:hint="eastAsia" w:ascii="宋体" w:hAnsi="宋体"/>
                <w:b/>
                <w:highlight w:val="none"/>
              </w:rPr>
              <w:t>号</w:t>
            </w:r>
          </w:p>
        </w:tc>
        <w:tc>
          <w:tcPr>
            <w:tcW w:w="5589" w:type="dxa"/>
            <w:vAlign w:val="center"/>
          </w:tcPr>
          <w:p w14:paraId="38F52A5D">
            <w:pPr>
              <w:adjustRightInd w:val="0"/>
              <w:snapToGrid w:val="0"/>
              <w:jc w:val="center"/>
              <w:textAlignment w:val="baseline"/>
              <w:rPr>
                <w:rFonts w:hint="eastAsia" w:ascii="宋体" w:hAnsi="宋体"/>
                <w:b/>
                <w:highlight w:val="none"/>
              </w:rPr>
            </w:pPr>
            <w:r>
              <w:rPr>
                <w:rFonts w:ascii="宋体" w:hAnsi="宋体"/>
                <w:b/>
                <w:highlight w:val="none"/>
              </w:rPr>
              <w:t>编列内容</w:t>
            </w:r>
          </w:p>
        </w:tc>
      </w:tr>
      <w:tr w14:paraId="3749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gridSpan w:val="2"/>
            <w:vAlign w:val="center"/>
          </w:tcPr>
          <w:p w14:paraId="200810B9">
            <w:pPr>
              <w:snapToGrid w:val="0"/>
              <w:ind w:left="-72"/>
              <w:jc w:val="center"/>
              <w:rPr>
                <w:rFonts w:hint="eastAsia" w:ascii="宋体" w:hAnsi="宋体"/>
                <w:highlight w:val="none"/>
              </w:rPr>
            </w:pPr>
            <w:r>
              <w:rPr>
                <w:rFonts w:hint="eastAsia" w:ascii="宋体" w:hAnsi="宋体"/>
                <w:highlight w:val="none"/>
              </w:rPr>
              <w:t>2.2.1</w:t>
            </w:r>
          </w:p>
        </w:tc>
        <w:tc>
          <w:tcPr>
            <w:tcW w:w="1843" w:type="dxa"/>
            <w:vAlign w:val="center"/>
          </w:tcPr>
          <w:p w14:paraId="64F52080">
            <w:pPr>
              <w:jc w:val="center"/>
              <w:rPr>
                <w:rFonts w:hint="eastAsia" w:ascii="宋体" w:hAnsi="宋体"/>
                <w:highlight w:val="none"/>
              </w:rPr>
            </w:pPr>
            <w:r>
              <w:rPr>
                <w:rFonts w:ascii="宋体" w:hAnsi="宋体"/>
                <w:highlight w:val="none"/>
              </w:rPr>
              <w:t>分值构成</w:t>
            </w:r>
          </w:p>
          <w:p w14:paraId="6FDDF80A">
            <w:pPr>
              <w:snapToGrid w:val="0"/>
              <w:ind w:left="-72"/>
              <w:jc w:val="center"/>
              <w:rPr>
                <w:rFonts w:hint="eastAsia" w:ascii="宋体" w:hAnsi="宋体"/>
                <w:highlight w:val="none"/>
              </w:rPr>
            </w:pPr>
            <w:r>
              <w:rPr>
                <w:rFonts w:hint="eastAsia" w:ascii="宋体" w:hAnsi="宋体"/>
                <w:highlight w:val="none"/>
              </w:rPr>
              <w:t>（总分100分）</w:t>
            </w:r>
          </w:p>
        </w:tc>
        <w:tc>
          <w:tcPr>
            <w:tcW w:w="5589" w:type="dxa"/>
            <w:vAlign w:val="center"/>
          </w:tcPr>
          <w:p w14:paraId="4EEB2616">
            <w:pPr>
              <w:rPr>
                <w:rFonts w:hint="eastAsia" w:ascii="宋体" w:hAnsi="宋体"/>
                <w:highlight w:val="none"/>
              </w:rPr>
            </w:pPr>
            <w:r>
              <w:rPr>
                <w:rFonts w:hint="eastAsia" w:ascii="宋体" w:hAnsi="宋体"/>
                <w:highlight w:val="none"/>
              </w:rPr>
              <w:t>第一个信封（商务及技术文件）评分分值构成：</w:t>
            </w:r>
          </w:p>
          <w:p w14:paraId="4A62EF05">
            <w:pPr>
              <w:rPr>
                <w:rFonts w:hint="eastAsia" w:ascii="宋体" w:hAnsi="宋体"/>
                <w:highlight w:val="none"/>
              </w:rPr>
            </w:pPr>
            <w:r>
              <w:rPr>
                <w:rFonts w:hint="eastAsia" w:ascii="宋体" w:hAnsi="宋体"/>
                <w:highlight w:val="none"/>
              </w:rPr>
              <w:t>施工组织设计：15分</w:t>
            </w:r>
          </w:p>
          <w:p w14:paraId="11A748B0">
            <w:pPr>
              <w:rPr>
                <w:rFonts w:hint="eastAsia" w:ascii="宋体" w:hAnsi="宋体"/>
                <w:highlight w:val="none"/>
              </w:rPr>
            </w:pPr>
            <w:r>
              <w:rPr>
                <w:rFonts w:hint="eastAsia" w:ascii="宋体" w:hAnsi="宋体"/>
                <w:highlight w:val="none"/>
              </w:rPr>
              <w:t>项目管理机构（项目经理任职资格与业绩、主要人员）：15分</w:t>
            </w:r>
          </w:p>
          <w:p w14:paraId="73D4E31F">
            <w:pPr>
              <w:rPr>
                <w:rFonts w:hint="eastAsia" w:ascii="宋体" w:hAnsi="宋体"/>
                <w:highlight w:val="none"/>
              </w:rPr>
            </w:pPr>
            <w:r>
              <w:rPr>
                <w:rFonts w:hint="eastAsia" w:ascii="宋体" w:hAnsi="宋体"/>
                <w:highlight w:val="none"/>
              </w:rPr>
              <w:t>其他因素-投标人业绩：</w:t>
            </w:r>
            <w:r>
              <w:rPr>
                <w:rFonts w:ascii="宋体" w:hAnsi="宋体"/>
                <w:highlight w:val="none"/>
              </w:rPr>
              <w:t>15</w:t>
            </w:r>
            <w:r>
              <w:rPr>
                <w:rFonts w:hint="eastAsia" w:ascii="宋体" w:hAnsi="宋体"/>
                <w:highlight w:val="none"/>
              </w:rPr>
              <w:t>分</w:t>
            </w:r>
          </w:p>
          <w:p w14:paraId="4A70E433">
            <w:pPr>
              <w:rPr>
                <w:rFonts w:hint="eastAsia" w:ascii="宋体" w:hAnsi="宋体"/>
                <w:highlight w:val="none"/>
              </w:rPr>
            </w:pPr>
            <w:r>
              <w:rPr>
                <w:rFonts w:hint="eastAsia" w:ascii="宋体" w:hAnsi="宋体"/>
                <w:highlight w:val="none"/>
              </w:rPr>
              <w:t>其他因素-履约信誉：5分</w:t>
            </w:r>
          </w:p>
          <w:p w14:paraId="20990148">
            <w:pPr>
              <w:rPr>
                <w:rFonts w:hint="eastAsia" w:ascii="宋体" w:hAnsi="宋体"/>
                <w:highlight w:val="none"/>
              </w:rPr>
            </w:pPr>
            <w:r>
              <w:rPr>
                <w:rFonts w:hint="eastAsia" w:ascii="宋体" w:hAnsi="宋体"/>
                <w:highlight w:val="none"/>
              </w:rPr>
              <w:t>第二个信封（报价文件）评分分值构成：</w:t>
            </w:r>
          </w:p>
          <w:p w14:paraId="3E067747">
            <w:pPr>
              <w:rPr>
                <w:rFonts w:hint="eastAsia" w:ascii="宋体" w:hAnsi="宋体"/>
                <w:highlight w:val="none"/>
              </w:rPr>
            </w:pPr>
            <w:r>
              <w:rPr>
                <w:rFonts w:hint="eastAsia" w:ascii="宋体" w:hAnsi="宋体"/>
                <w:highlight w:val="none"/>
              </w:rPr>
              <w:t>评标价：50分</w:t>
            </w:r>
          </w:p>
        </w:tc>
      </w:tr>
      <w:tr w14:paraId="29B7C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4" w:hRule="atLeast"/>
          <w:jc w:val="center"/>
        </w:trPr>
        <w:tc>
          <w:tcPr>
            <w:tcW w:w="2220" w:type="dxa"/>
            <w:gridSpan w:val="2"/>
            <w:vAlign w:val="center"/>
          </w:tcPr>
          <w:p w14:paraId="08B6D63F">
            <w:pPr>
              <w:jc w:val="center"/>
              <w:rPr>
                <w:rFonts w:hint="eastAsia" w:ascii="宋体" w:hAnsi="宋体"/>
                <w:highlight w:val="none"/>
              </w:rPr>
            </w:pPr>
            <w:r>
              <w:rPr>
                <w:rFonts w:hint="eastAsia" w:ascii="宋体" w:hAnsi="宋体"/>
                <w:highlight w:val="none"/>
              </w:rPr>
              <w:t>2.2.2</w:t>
            </w:r>
          </w:p>
        </w:tc>
        <w:tc>
          <w:tcPr>
            <w:tcW w:w="1843" w:type="dxa"/>
            <w:vAlign w:val="center"/>
          </w:tcPr>
          <w:p w14:paraId="5D4D781D">
            <w:pPr>
              <w:pStyle w:val="20"/>
              <w:jc w:val="center"/>
              <w:rPr>
                <w:rFonts w:hint="eastAsia" w:ascii="宋体" w:hAnsi="宋体"/>
                <w:highlight w:val="none"/>
              </w:rPr>
            </w:pPr>
            <w:r>
              <w:rPr>
                <w:rFonts w:hint="eastAsia" w:ascii="宋体" w:hAnsi="宋体"/>
                <w:highlight w:val="none"/>
              </w:rPr>
              <w:t>评标价评标基准价计算方法</w:t>
            </w:r>
          </w:p>
          <w:p w14:paraId="0CB80C0C">
            <w:pPr>
              <w:pStyle w:val="20"/>
              <w:jc w:val="center"/>
              <w:rPr>
                <w:highlight w:val="none"/>
              </w:rPr>
            </w:pPr>
          </w:p>
        </w:tc>
        <w:tc>
          <w:tcPr>
            <w:tcW w:w="5589" w:type="dxa"/>
            <w:vAlign w:val="center"/>
          </w:tcPr>
          <w:p w14:paraId="6B74D402">
            <w:pPr>
              <w:autoSpaceDE w:val="0"/>
              <w:autoSpaceDN w:val="0"/>
              <w:adjustRightInd w:val="0"/>
              <w:ind w:left="63" w:leftChars="30"/>
              <w:jc w:val="left"/>
              <w:rPr>
                <w:rFonts w:hint="eastAsia" w:ascii="宋体" w:hAnsi="宋体"/>
                <w:highlight w:val="none"/>
              </w:rPr>
            </w:pPr>
            <w:r>
              <w:rPr>
                <w:rFonts w:hint="eastAsia" w:ascii="宋体" w:hAnsi="宋体"/>
                <w:highlight w:val="none"/>
              </w:rPr>
              <w:t>评标基准价的计算：</w:t>
            </w:r>
          </w:p>
          <w:p w14:paraId="44358D20">
            <w:pPr>
              <w:autoSpaceDE w:val="0"/>
              <w:autoSpaceDN w:val="0"/>
              <w:adjustRightInd w:val="0"/>
              <w:ind w:left="63" w:leftChars="30"/>
              <w:jc w:val="left"/>
              <w:rPr>
                <w:rFonts w:hint="eastAsia" w:ascii="宋体" w:hAnsi="宋体"/>
                <w:highlight w:val="none"/>
              </w:rPr>
            </w:pPr>
            <w:r>
              <w:rPr>
                <w:rFonts w:hint="eastAsia" w:ascii="宋体" w:hAnsi="宋体"/>
                <w:highlight w:val="none"/>
              </w:rPr>
              <w:t>在开标现场，招标人将当场计算并宣布评标基准价</w:t>
            </w:r>
          </w:p>
          <w:p w14:paraId="4E8E6A31">
            <w:pPr>
              <w:autoSpaceDE w:val="0"/>
              <w:autoSpaceDN w:val="0"/>
              <w:adjustRightInd w:val="0"/>
              <w:ind w:left="63" w:leftChars="30"/>
              <w:jc w:val="left"/>
              <w:rPr>
                <w:rFonts w:hint="eastAsia" w:ascii="宋体" w:hAnsi="宋体"/>
                <w:highlight w:val="none"/>
              </w:rPr>
            </w:pPr>
            <w:r>
              <w:rPr>
                <w:rFonts w:hint="eastAsia" w:ascii="宋体" w:hAnsi="宋体"/>
                <w:highlight w:val="none"/>
              </w:rPr>
              <w:t>(1)评标价的确定：</w:t>
            </w:r>
          </w:p>
          <w:p w14:paraId="0D8C58FD">
            <w:pPr>
              <w:autoSpaceDE w:val="0"/>
              <w:autoSpaceDN w:val="0"/>
              <w:adjustRightInd w:val="0"/>
              <w:ind w:left="63" w:leftChars="30"/>
              <w:jc w:val="left"/>
              <w:rPr>
                <w:rFonts w:hint="eastAsia" w:ascii="宋体" w:hAnsi="宋体"/>
                <w:highlight w:val="none"/>
              </w:rPr>
            </w:pPr>
            <w:r>
              <w:rPr>
                <w:rFonts w:hint="eastAsia" w:ascii="宋体" w:hAnsi="宋体"/>
                <w:highlight w:val="none"/>
              </w:rPr>
              <w:t>评标价=投标函文字报价-0（招标代理服务费）-0（公证费）- 0（暂列金）-0（其他不可竞争费）</w:t>
            </w:r>
          </w:p>
          <w:p w14:paraId="350AA9FA">
            <w:pPr>
              <w:autoSpaceDE w:val="0"/>
              <w:autoSpaceDN w:val="0"/>
              <w:adjustRightInd w:val="0"/>
              <w:ind w:left="63" w:leftChars="30"/>
              <w:jc w:val="left"/>
              <w:rPr>
                <w:rFonts w:hint="eastAsia" w:ascii="宋体" w:hAnsi="宋体"/>
                <w:highlight w:val="none"/>
              </w:rPr>
            </w:pPr>
            <w:r>
              <w:rPr>
                <w:rFonts w:hint="eastAsia" w:ascii="宋体" w:hAnsi="宋体"/>
                <w:highlight w:val="none"/>
              </w:rPr>
              <w:t>投标报价=清单小计+0（招标代理服务费）+0（公证费）+0（暂列金）+0（其他不可竞争费）</w:t>
            </w:r>
          </w:p>
          <w:p w14:paraId="3519BEE4">
            <w:pPr>
              <w:autoSpaceDE w:val="0"/>
              <w:autoSpaceDN w:val="0"/>
              <w:adjustRightInd w:val="0"/>
              <w:ind w:left="63" w:leftChars="30"/>
              <w:jc w:val="left"/>
              <w:rPr>
                <w:rFonts w:hint="eastAsia" w:ascii="宋体" w:hAnsi="宋体"/>
                <w:highlight w:val="none"/>
              </w:rPr>
            </w:pPr>
            <w:r>
              <w:rPr>
                <w:rFonts w:hint="eastAsia" w:ascii="宋体" w:hAnsi="宋体"/>
                <w:highlight w:val="none"/>
              </w:rPr>
              <w:t>（2）评标价平均值的计算：</w:t>
            </w:r>
          </w:p>
          <w:p w14:paraId="66D0AF95">
            <w:pPr>
              <w:autoSpaceDE w:val="0"/>
              <w:autoSpaceDN w:val="0"/>
              <w:adjustRightInd w:val="0"/>
              <w:ind w:left="63" w:leftChars="30"/>
              <w:jc w:val="left"/>
              <w:rPr>
                <w:rFonts w:hint="eastAsia" w:ascii="宋体" w:hAnsi="宋体"/>
                <w:highlight w:val="none"/>
              </w:rPr>
            </w:pPr>
            <w:r>
              <w:rPr>
                <w:rFonts w:hint="eastAsia" w:ascii="宋体" w:hAnsi="宋体"/>
                <w:highlight w:val="none"/>
              </w:rPr>
              <w:t>除按第二章“投标人须知”第5.2.4项规定开标现场被宣布为不进入评标基准价计算的投标报价之外，</w:t>
            </w:r>
            <w:r>
              <w:rPr>
                <w:rFonts w:hint="eastAsia" w:ascii="宋体" w:hAnsi="宋体"/>
                <w:b/>
                <w:bCs/>
                <w:highlight w:val="none"/>
              </w:rPr>
              <w:t>所有投标人的评标价去掉一个最高值和一个最低值后的算术平均值即为评标价平均值</w:t>
            </w:r>
            <w:r>
              <w:rPr>
                <w:rFonts w:hint="eastAsia" w:ascii="宋体" w:hAnsi="宋体"/>
                <w:highlight w:val="none"/>
              </w:rPr>
              <w:t>（如果参与评标价平均值计算的有效投标人少于5家时，则计算评标价平均值时不去掉最高值和最低值）</w:t>
            </w:r>
          </w:p>
          <w:p w14:paraId="501DD9A3">
            <w:pPr>
              <w:autoSpaceDE w:val="0"/>
              <w:autoSpaceDN w:val="0"/>
              <w:adjustRightInd w:val="0"/>
              <w:ind w:left="63" w:leftChars="30"/>
              <w:jc w:val="left"/>
              <w:rPr>
                <w:rFonts w:hint="eastAsia" w:ascii="宋体" w:hAnsi="宋体"/>
                <w:highlight w:val="none"/>
              </w:rPr>
            </w:pPr>
            <w:r>
              <w:rPr>
                <w:rFonts w:hint="eastAsia" w:ascii="宋体" w:hAnsi="宋体"/>
                <w:highlight w:val="none"/>
              </w:rPr>
              <w:t>（3）评标基准价的确定：</w:t>
            </w:r>
          </w:p>
          <w:p w14:paraId="531DAA55">
            <w:pPr>
              <w:autoSpaceDE w:val="0"/>
              <w:autoSpaceDN w:val="0"/>
              <w:adjustRightInd w:val="0"/>
              <w:ind w:left="63" w:leftChars="30"/>
              <w:jc w:val="left"/>
              <w:rPr>
                <w:rFonts w:hint="eastAsia" w:ascii="宋体" w:hAnsi="宋体"/>
                <w:highlight w:val="none"/>
              </w:rPr>
            </w:pPr>
            <w:r>
              <w:rPr>
                <w:rFonts w:hint="eastAsia" w:ascii="宋体" w:hAnsi="宋体"/>
                <w:highlight w:val="none"/>
              </w:rPr>
              <w:t>评标基准价=评标价平均值</w:t>
            </w:r>
          </w:p>
          <w:p w14:paraId="68C40B22">
            <w:pPr>
              <w:autoSpaceDE w:val="0"/>
              <w:autoSpaceDN w:val="0"/>
              <w:adjustRightInd w:val="0"/>
              <w:ind w:left="63" w:leftChars="30"/>
              <w:jc w:val="left"/>
              <w:rPr>
                <w:rFonts w:hint="eastAsia" w:ascii="宋体" w:hAnsi="宋体"/>
                <w:highlight w:val="none"/>
              </w:rPr>
            </w:pPr>
            <w:r>
              <w:rPr>
                <w:rFonts w:hint="eastAsia" w:ascii="宋体" w:hAnsi="宋体"/>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tc>
      </w:tr>
      <w:tr w14:paraId="68C7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220" w:type="dxa"/>
            <w:gridSpan w:val="2"/>
            <w:vAlign w:val="center"/>
          </w:tcPr>
          <w:p w14:paraId="5A02F8C4">
            <w:pPr>
              <w:jc w:val="center"/>
              <w:rPr>
                <w:rFonts w:hint="eastAsia" w:ascii="宋体" w:hAnsi="宋体"/>
                <w:highlight w:val="none"/>
              </w:rPr>
            </w:pPr>
            <w:r>
              <w:rPr>
                <w:rFonts w:hint="eastAsia" w:ascii="宋体" w:hAnsi="宋体"/>
                <w:highlight w:val="none"/>
              </w:rPr>
              <w:t>2.2.3</w:t>
            </w:r>
          </w:p>
        </w:tc>
        <w:tc>
          <w:tcPr>
            <w:tcW w:w="1843" w:type="dxa"/>
            <w:vAlign w:val="center"/>
          </w:tcPr>
          <w:p w14:paraId="6E65AE86">
            <w:pPr>
              <w:pStyle w:val="20"/>
              <w:jc w:val="center"/>
              <w:rPr>
                <w:rFonts w:hint="eastAsia" w:ascii="宋体" w:hAnsi="宋体"/>
                <w:highlight w:val="none"/>
              </w:rPr>
            </w:pPr>
            <w:r>
              <w:rPr>
                <w:rFonts w:hint="eastAsia" w:ascii="宋体" w:hAnsi="宋体"/>
                <w:highlight w:val="none"/>
              </w:rPr>
              <w:t>投标报价的偏差率计算公式</w:t>
            </w:r>
          </w:p>
        </w:tc>
        <w:tc>
          <w:tcPr>
            <w:tcW w:w="5589" w:type="dxa"/>
            <w:vAlign w:val="center"/>
          </w:tcPr>
          <w:p w14:paraId="735A4C73">
            <w:pPr>
              <w:autoSpaceDE w:val="0"/>
              <w:autoSpaceDN w:val="0"/>
              <w:adjustRightInd w:val="0"/>
              <w:ind w:left="63" w:leftChars="30"/>
              <w:jc w:val="left"/>
              <w:rPr>
                <w:rFonts w:hint="eastAsia" w:ascii="宋体" w:hAnsi="宋体"/>
                <w:highlight w:val="none"/>
              </w:rPr>
            </w:pPr>
            <w:r>
              <w:rPr>
                <w:rFonts w:hint="eastAsia" w:ascii="宋体" w:hAnsi="宋体"/>
                <w:highlight w:val="none"/>
              </w:rPr>
              <w:t>偏差率=100％×（投标人评标价一评标基准价）／评标基准价</w:t>
            </w:r>
          </w:p>
        </w:tc>
      </w:tr>
      <w:tr w14:paraId="1B98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220" w:type="dxa"/>
            <w:gridSpan w:val="2"/>
            <w:vAlign w:val="center"/>
          </w:tcPr>
          <w:p w14:paraId="29E924BC">
            <w:pPr>
              <w:adjustRightInd w:val="0"/>
              <w:snapToGrid w:val="0"/>
              <w:jc w:val="center"/>
              <w:textAlignment w:val="baseline"/>
              <w:rPr>
                <w:rFonts w:hint="eastAsia" w:ascii="宋体" w:hAnsi="宋体"/>
                <w:b/>
                <w:highlight w:val="none"/>
              </w:rPr>
            </w:pPr>
            <w:r>
              <w:rPr>
                <w:rFonts w:hint="eastAsia" w:ascii="宋体" w:hAnsi="宋体"/>
                <w:b/>
                <w:highlight w:val="none"/>
              </w:rPr>
              <w:t>条款号</w:t>
            </w:r>
          </w:p>
        </w:tc>
        <w:tc>
          <w:tcPr>
            <w:tcW w:w="1843" w:type="dxa"/>
            <w:vAlign w:val="center"/>
          </w:tcPr>
          <w:p w14:paraId="28CF0AE8">
            <w:pPr>
              <w:pStyle w:val="20"/>
              <w:adjustRightInd w:val="0"/>
              <w:snapToGrid w:val="0"/>
              <w:jc w:val="center"/>
              <w:textAlignment w:val="baseline"/>
              <w:rPr>
                <w:rFonts w:hint="eastAsia" w:ascii="宋体" w:hAnsi="宋体"/>
                <w:b/>
                <w:highlight w:val="none"/>
              </w:rPr>
            </w:pPr>
            <w:r>
              <w:rPr>
                <w:rFonts w:hint="eastAsia" w:ascii="宋体" w:hAnsi="宋体"/>
                <w:b/>
                <w:highlight w:val="none"/>
              </w:rPr>
              <w:t>评分因素</w:t>
            </w:r>
          </w:p>
        </w:tc>
        <w:tc>
          <w:tcPr>
            <w:tcW w:w="5589" w:type="dxa"/>
            <w:vAlign w:val="center"/>
          </w:tcPr>
          <w:p w14:paraId="3BE85D05">
            <w:pPr>
              <w:autoSpaceDE w:val="0"/>
              <w:autoSpaceDN w:val="0"/>
              <w:adjustRightInd w:val="0"/>
              <w:snapToGrid w:val="0"/>
              <w:ind w:left="63" w:leftChars="30"/>
              <w:jc w:val="center"/>
              <w:textAlignment w:val="baseline"/>
              <w:rPr>
                <w:rFonts w:hint="eastAsia" w:ascii="宋体" w:hAnsi="宋体"/>
                <w:b/>
                <w:highlight w:val="none"/>
              </w:rPr>
            </w:pPr>
            <w:r>
              <w:rPr>
                <w:rFonts w:hint="eastAsia" w:ascii="宋体" w:hAnsi="宋体"/>
                <w:b/>
                <w:highlight w:val="none"/>
              </w:rPr>
              <w:t>评分标准</w:t>
            </w:r>
          </w:p>
        </w:tc>
      </w:tr>
      <w:tr w14:paraId="0433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vAlign w:val="center"/>
          </w:tcPr>
          <w:p w14:paraId="53CD18AF">
            <w:pPr>
              <w:adjustRightInd w:val="0"/>
              <w:snapToGrid w:val="0"/>
              <w:jc w:val="center"/>
              <w:textAlignment w:val="baseline"/>
              <w:rPr>
                <w:rFonts w:hint="eastAsia" w:ascii="宋体" w:hAnsi="宋体"/>
                <w:b/>
                <w:highlight w:val="none"/>
              </w:rPr>
            </w:pPr>
            <w:r>
              <w:rPr>
                <w:rFonts w:ascii="宋体" w:hAnsi="宋体"/>
                <w:highlight w:val="none"/>
              </w:rPr>
              <w:t>2.2.4(1)</w:t>
            </w:r>
          </w:p>
        </w:tc>
        <w:tc>
          <w:tcPr>
            <w:tcW w:w="1418" w:type="dxa"/>
            <w:vMerge w:val="restart"/>
            <w:vAlign w:val="center"/>
          </w:tcPr>
          <w:p w14:paraId="58F0DD33">
            <w:pPr>
              <w:adjustRightInd w:val="0"/>
              <w:snapToGrid w:val="0"/>
              <w:jc w:val="center"/>
              <w:textAlignment w:val="baseline"/>
              <w:rPr>
                <w:rFonts w:hint="eastAsia" w:ascii="宋体" w:hAnsi="宋体"/>
                <w:b/>
                <w:highlight w:val="none"/>
              </w:rPr>
            </w:pPr>
            <w:r>
              <w:rPr>
                <w:rFonts w:hint="eastAsia" w:ascii="宋体" w:hAnsi="宋体"/>
                <w:highlight w:val="none"/>
              </w:rPr>
              <w:t>施工组织设计评分标准</w:t>
            </w:r>
          </w:p>
        </w:tc>
        <w:tc>
          <w:tcPr>
            <w:tcW w:w="1843" w:type="dxa"/>
            <w:vAlign w:val="center"/>
          </w:tcPr>
          <w:p w14:paraId="451B0120">
            <w:pPr>
              <w:pStyle w:val="20"/>
              <w:jc w:val="center"/>
              <w:rPr>
                <w:rFonts w:hint="eastAsia" w:ascii="宋体" w:hAnsi="宋体"/>
                <w:highlight w:val="none"/>
              </w:rPr>
            </w:pPr>
            <w:r>
              <w:rPr>
                <w:rFonts w:hint="eastAsia" w:ascii="宋体" w:hAnsi="宋体"/>
                <w:highlight w:val="none"/>
              </w:rPr>
              <w:t>施工组织方案（5分）</w:t>
            </w:r>
          </w:p>
        </w:tc>
        <w:tc>
          <w:tcPr>
            <w:tcW w:w="5589" w:type="dxa"/>
            <w:vAlign w:val="center"/>
          </w:tcPr>
          <w:p w14:paraId="17079135">
            <w:pPr>
              <w:autoSpaceDE w:val="0"/>
              <w:autoSpaceDN w:val="0"/>
              <w:adjustRightInd w:val="0"/>
              <w:snapToGrid w:val="0"/>
              <w:ind w:left="63" w:leftChars="30"/>
              <w:jc w:val="left"/>
              <w:textAlignment w:val="baseline"/>
              <w:rPr>
                <w:rFonts w:hint="eastAsia" w:ascii="宋体" w:hAnsi="宋体"/>
                <w:b/>
                <w:highlight w:val="none"/>
              </w:rPr>
            </w:pPr>
            <w:r>
              <w:rPr>
                <w:rFonts w:hint="eastAsia" w:ascii="宋体" w:hAnsi="宋体"/>
                <w:sz w:val="22"/>
                <w:highlight w:val="none"/>
              </w:rPr>
              <w:t>根据施工组织方案内容是否齐全、是否符合本工程的特点和实际情况等方面进行评审；低于60%说明理由。</w:t>
            </w:r>
          </w:p>
        </w:tc>
      </w:tr>
      <w:tr w14:paraId="0AFF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vAlign w:val="center"/>
          </w:tcPr>
          <w:p w14:paraId="75EA1E01">
            <w:pPr>
              <w:adjustRightInd w:val="0"/>
              <w:snapToGrid w:val="0"/>
              <w:jc w:val="center"/>
              <w:textAlignment w:val="baseline"/>
              <w:rPr>
                <w:rFonts w:hint="eastAsia" w:ascii="宋体" w:hAnsi="宋体"/>
                <w:highlight w:val="none"/>
              </w:rPr>
            </w:pPr>
          </w:p>
        </w:tc>
        <w:tc>
          <w:tcPr>
            <w:tcW w:w="1418" w:type="dxa"/>
            <w:vMerge w:val="continue"/>
            <w:vAlign w:val="center"/>
          </w:tcPr>
          <w:p w14:paraId="3BDA38D6">
            <w:pPr>
              <w:adjustRightInd w:val="0"/>
              <w:snapToGrid w:val="0"/>
              <w:jc w:val="center"/>
              <w:textAlignment w:val="baseline"/>
              <w:rPr>
                <w:rFonts w:hint="eastAsia" w:ascii="宋体" w:hAnsi="宋体"/>
                <w:highlight w:val="none"/>
              </w:rPr>
            </w:pPr>
          </w:p>
        </w:tc>
        <w:tc>
          <w:tcPr>
            <w:tcW w:w="1843" w:type="dxa"/>
            <w:vAlign w:val="center"/>
          </w:tcPr>
          <w:p w14:paraId="22DC0CE5">
            <w:pPr>
              <w:pStyle w:val="20"/>
              <w:jc w:val="center"/>
              <w:rPr>
                <w:rFonts w:hint="eastAsia" w:ascii="宋体" w:hAnsi="宋体"/>
                <w:highlight w:val="none"/>
              </w:rPr>
            </w:pPr>
            <w:r>
              <w:rPr>
                <w:rFonts w:hint="eastAsia" w:ascii="宋体" w:hAnsi="宋体"/>
                <w:highlight w:val="none"/>
              </w:rPr>
              <w:t>重难点分析（5分）</w:t>
            </w:r>
          </w:p>
        </w:tc>
        <w:tc>
          <w:tcPr>
            <w:tcW w:w="5589" w:type="dxa"/>
            <w:vAlign w:val="center"/>
          </w:tcPr>
          <w:p w14:paraId="67E35C1A">
            <w:pPr>
              <w:autoSpaceDE w:val="0"/>
              <w:autoSpaceDN w:val="0"/>
              <w:adjustRightInd w:val="0"/>
              <w:snapToGrid w:val="0"/>
              <w:ind w:left="63" w:leftChars="30"/>
              <w:jc w:val="left"/>
              <w:textAlignment w:val="baseline"/>
              <w:rPr>
                <w:rFonts w:hint="eastAsia" w:ascii="宋体" w:hAnsi="宋体"/>
                <w:b/>
                <w:highlight w:val="none"/>
              </w:rPr>
            </w:pPr>
            <w:r>
              <w:rPr>
                <w:rFonts w:hint="eastAsia" w:ascii="宋体" w:hAnsi="宋体"/>
                <w:sz w:val="22"/>
                <w:highlight w:val="none"/>
              </w:rPr>
              <w:t>根据重点</w:t>
            </w:r>
            <w:r>
              <w:rPr>
                <w:rFonts w:ascii="宋体" w:hAnsi="宋体"/>
                <w:sz w:val="22"/>
                <w:highlight w:val="none"/>
              </w:rPr>
              <w:t>(关键)和难点工程的分析及所采取的施工组织方案、措施是否可行、是否有较详细的施工工艺流程图</w:t>
            </w:r>
            <w:r>
              <w:rPr>
                <w:rFonts w:hint="eastAsia" w:ascii="宋体" w:hAnsi="宋体"/>
                <w:sz w:val="22"/>
                <w:highlight w:val="none"/>
              </w:rPr>
              <w:t>等方面进行评审</w:t>
            </w:r>
            <w:r>
              <w:rPr>
                <w:rFonts w:ascii="宋体" w:hAnsi="宋体"/>
                <w:sz w:val="22"/>
                <w:highlight w:val="none"/>
              </w:rPr>
              <w:t>；</w:t>
            </w:r>
            <w:r>
              <w:rPr>
                <w:rFonts w:hint="eastAsia" w:ascii="宋体" w:hAnsi="宋体"/>
                <w:sz w:val="22"/>
                <w:highlight w:val="none"/>
              </w:rPr>
              <w:t>低于60%说明理由。</w:t>
            </w:r>
          </w:p>
        </w:tc>
      </w:tr>
      <w:tr w14:paraId="4E9B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02" w:type="dxa"/>
            <w:vMerge w:val="continue"/>
            <w:vAlign w:val="center"/>
          </w:tcPr>
          <w:p w14:paraId="5DC65491">
            <w:pPr>
              <w:adjustRightInd w:val="0"/>
              <w:snapToGrid w:val="0"/>
              <w:jc w:val="center"/>
              <w:textAlignment w:val="baseline"/>
              <w:rPr>
                <w:rFonts w:hint="eastAsia" w:ascii="宋体" w:hAnsi="宋体"/>
                <w:highlight w:val="none"/>
              </w:rPr>
            </w:pPr>
          </w:p>
        </w:tc>
        <w:tc>
          <w:tcPr>
            <w:tcW w:w="1418" w:type="dxa"/>
            <w:vMerge w:val="continue"/>
            <w:vAlign w:val="center"/>
          </w:tcPr>
          <w:p w14:paraId="57292881">
            <w:pPr>
              <w:adjustRightInd w:val="0"/>
              <w:snapToGrid w:val="0"/>
              <w:jc w:val="center"/>
              <w:textAlignment w:val="baseline"/>
              <w:rPr>
                <w:rFonts w:hint="eastAsia" w:ascii="宋体" w:hAnsi="宋体"/>
                <w:highlight w:val="none"/>
              </w:rPr>
            </w:pPr>
          </w:p>
        </w:tc>
        <w:tc>
          <w:tcPr>
            <w:tcW w:w="1843" w:type="dxa"/>
            <w:vAlign w:val="center"/>
          </w:tcPr>
          <w:p w14:paraId="38E1FAE2">
            <w:pPr>
              <w:pStyle w:val="20"/>
              <w:jc w:val="center"/>
              <w:rPr>
                <w:rFonts w:hint="eastAsia" w:ascii="宋体" w:hAnsi="宋体"/>
                <w:highlight w:val="none"/>
              </w:rPr>
            </w:pPr>
            <w:r>
              <w:rPr>
                <w:rFonts w:hint="eastAsia" w:ascii="宋体" w:hAnsi="宋体"/>
                <w:highlight w:val="none"/>
              </w:rPr>
              <w:t>质量、安全、环保及进度保证措施（5分）</w:t>
            </w:r>
          </w:p>
        </w:tc>
        <w:tc>
          <w:tcPr>
            <w:tcW w:w="5589" w:type="dxa"/>
            <w:vAlign w:val="center"/>
          </w:tcPr>
          <w:p w14:paraId="3FBCEC82">
            <w:pPr>
              <w:autoSpaceDE w:val="0"/>
              <w:autoSpaceDN w:val="0"/>
              <w:adjustRightInd w:val="0"/>
              <w:snapToGrid w:val="0"/>
              <w:ind w:left="63" w:leftChars="30"/>
              <w:jc w:val="left"/>
              <w:textAlignment w:val="baseline"/>
              <w:rPr>
                <w:rFonts w:hint="eastAsia" w:ascii="宋体" w:hAnsi="宋体"/>
                <w:b/>
                <w:highlight w:val="none"/>
              </w:rPr>
            </w:pPr>
            <w:r>
              <w:rPr>
                <w:rFonts w:hint="eastAsia" w:ascii="宋体" w:hAnsi="宋体"/>
                <w:sz w:val="22"/>
                <w:highlight w:val="none"/>
              </w:rPr>
              <w:t>根据质量标准、安全目标是否符合招标文件要求，</w:t>
            </w:r>
            <w:r>
              <w:rPr>
                <w:rFonts w:ascii="宋体" w:hAnsi="宋体"/>
                <w:sz w:val="22"/>
                <w:highlight w:val="none"/>
              </w:rPr>
              <w:t>对施工过程中可能出现的安全、质量问题是否有较细致的事前控制措施；</w:t>
            </w:r>
            <w:r>
              <w:rPr>
                <w:rFonts w:hint="eastAsia" w:ascii="宋体" w:hAnsi="宋体"/>
                <w:sz w:val="22"/>
                <w:highlight w:val="none"/>
              </w:rPr>
              <w:t>对项目的环境保护重点的分析是否合理、准确，对可能出现环境污染问题是否有完善、细致的事前、事中、事后控制及处理措施，是否已初步确定工序的环境控制重点；工期进度计划安排是否符合招标文件要求，</w:t>
            </w:r>
            <w:r>
              <w:rPr>
                <w:rFonts w:ascii="宋体" w:hAnsi="宋体"/>
                <w:sz w:val="22"/>
                <w:highlight w:val="none"/>
              </w:rPr>
              <w:t>是否对保证工程进度和完善的交通组织安排提出具体可靠的方案；是否考虑对环境、交通等造成影响；是否已考虑了特殊情况的影响及相关施工安排和措施；各分部、分项工程安排的前后顺序有无矛盾；工期是否满足招标文件要求的总工期及是否有阶段性目标计划等方面进行评审</w:t>
            </w:r>
            <w:r>
              <w:rPr>
                <w:rFonts w:hint="eastAsia" w:ascii="宋体" w:hAnsi="宋体"/>
                <w:sz w:val="22"/>
                <w:highlight w:val="none"/>
              </w:rPr>
              <w:t>；低于60%说明理由。</w:t>
            </w:r>
          </w:p>
        </w:tc>
      </w:tr>
      <w:tr w14:paraId="493C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vAlign w:val="center"/>
          </w:tcPr>
          <w:p w14:paraId="1FE72943">
            <w:pPr>
              <w:adjustRightInd w:val="0"/>
              <w:snapToGrid w:val="0"/>
              <w:jc w:val="center"/>
              <w:textAlignment w:val="baseline"/>
              <w:rPr>
                <w:rFonts w:hint="eastAsia" w:ascii="宋体" w:hAnsi="宋体"/>
                <w:highlight w:val="none"/>
              </w:rPr>
            </w:pPr>
            <w:r>
              <w:rPr>
                <w:rFonts w:ascii="宋体" w:hAnsi="宋体"/>
                <w:highlight w:val="none"/>
              </w:rPr>
              <w:t>2.2.4(2)</w:t>
            </w:r>
          </w:p>
        </w:tc>
        <w:tc>
          <w:tcPr>
            <w:tcW w:w="1418" w:type="dxa"/>
            <w:vMerge w:val="restart"/>
            <w:vAlign w:val="center"/>
          </w:tcPr>
          <w:p w14:paraId="35813A63">
            <w:pPr>
              <w:adjustRightInd w:val="0"/>
              <w:snapToGrid w:val="0"/>
              <w:jc w:val="center"/>
              <w:textAlignment w:val="baseline"/>
              <w:rPr>
                <w:rFonts w:hint="eastAsia" w:ascii="宋体" w:hAnsi="宋体"/>
                <w:highlight w:val="none"/>
              </w:rPr>
            </w:pPr>
            <w:r>
              <w:rPr>
                <w:rFonts w:hint="eastAsia" w:ascii="宋体" w:hAnsi="宋体"/>
                <w:highlight w:val="none"/>
              </w:rPr>
              <w:t>项目管理机构评分标准</w:t>
            </w:r>
          </w:p>
        </w:tc>
        <w:tc>
          <w:tcPr>
            <w:tcW w:w="1843" w:type="dxa"/>
            <w:vAlign w:val="center"/>
          </w:tcPr>
          <w:p w14:paraId="4E912E90">
            <w:pPr>
              <w:rPr>
                <w:rFonts w:hint="eastAsia" w:ascii="宋体" w:hAnsi="宋体"/>
                <w:highlight w:val="none"/>
              </w:rPr>
            </w:pPr>
            <w:r>
              <w:rPr>
                <w:rFonts w:hint="eastAsia" w:ascii="宋体" w:hAnsi="宋体"/>
                <w:highlight w:val="none"/>
              </w:rPr>
              <w:t>项目经理任职资格与业绩（</w:t>
            </w:r>
            <w:r>
              <w:rPr>
                <w:rFonts w:ascii="宋体" w:hAnsi="宋体"/>
                <w:highlight w:val="none"/>
              </w:rPr>
              <w:t>10</w:t>
            </w:r>
            <w:r>
              <w:rPr>
                <w:rFonts w:hint="eastAsia" w:ascii="宋体" w:hAnsi="宋体"/>
                <w:highlight w:val="none"/>
              </w:rPr>
              <w:t>分）</w:t>
            </w:r>
          </w:p>
        </w:tc>
        <w:tc>
          <w:tcPr>
            <w:tcW w:w="5589" w:type="dxa"/>
            <w:vAlign w:val="center"/>
          </w:tcPr>
          <w:p w14:paraId="677C6EF4">
            <w:pPr>
              <w:adjustRightInd w:val="0"/>
              <w:snapToGrid w:val="0"/>
              <w:rPr>
                <w:rFonts w:hint="eastAsia" w:ascii="宋体" w:hAnsi="宋体"/>
                <w:highlight w:val="none"/>
              </w:rPr>
            </w:pPr>
            <w:r>
              <w:rPr>
                <w:rFonts w:hint="eastAsia" w:ascii="宋体" w:hAnsi="宋体"/>
                <w:highlight w:val="none"/>
              </w:rPr>
              <w:t>项目负责人满足资格条件的得基本分</w:t>
            </w:r>
            <w:r>
              <w:rPr>
                <w:rFonts w:ascii="宋体" w:hAnsi="宋体"/>
                <w:highlight w:val="none"/>
              </w:rPr>
              <w:t>6</w:t>
            </w:r>
            <w:r>
              <w:rPr>
                <w:rFonts w:hint="eastAsia" w:ascii="宋体" w:hAnsi="宋体"/>
                <w:highlight w:val="none"/>
              </w:rPr>
              <w:t>分；</w:t>
            </w:r>
          </w:p>
          <w:p w14:paraId="3C1DCFF9">
            <w:pPr>
              <w:adjustRightInd w:val="0"/>
              <w:snapToGrid w:val="0"/>
              <w:rPr>
                <w:rFonts w:hint="eastAsia" w:ascii="宋体" w:hAnsi="宋体"/>
                <w:highlight w:val="none"/>
              </w:rPr>
            </w:pPr>
            <w:r>
              <w:rPr>
                <w:rFonts w:hint="eastAsia" w:ascii="宋体" w:hAnsi="宋体"/>
                <w:highlight w:val="none"/>
              </w:rPr>
              <w:t>在此基础上，每增加1个满足项目经理资格条件要求的业绩，加</w:t>
            </w:r>
            <w:r>
              <w:rPr>
                <w:rFonts w:ascii="宋体" w:hAnsi="宋体"/>
                <w:highlight w:val="none"/>
              </w:rPr>
              <w:t>2</w:t>
            </w:r>
            <w:r>
              <w:rPr>
                <w:rFonts w:hint="eastAsia" w:ascii="宋体" w:hAnsi="宋体"/>
                <w:highlight w:val="none"/>
              </w:rPr>
              <w:t>分，最多加</w:t>
            </w:r>
            <w:r>
              <w:rPr>
                <w:rFonts w:ascii="宋体" w:hAnsi="宋体"/>
                <w:highlight w:val="none"/>
              </w:rPr>
              <w:t>4</w:t>
            </w:r>
            <w:r>
              <w:rPr>
                <w:rFonts w:hint="eastAsia" w:ascii="宋体" w:hAnsi="宋体"/>
                <w:highlight w:val="none"/>
              </w:rPr>
              <w:t>分。</w:t>
            </w:r>
          </w:p>
          <w:p w14:paraId="140972A6">
            <w:pPr>
              <w:adjustRightInd w:val="0"/>
              <w:snapToGrid w:val="0"/>
              <w:rPr>
                <w:rFonts w:hint="eastAsia" w:ascii="宋体" w:hAnsi="宋体"/>
                <w:highlight w:val="none"/>
              </w:rPr>
            </w:pPr>
            <w:r>
              <w:rPr>
                <w:rFonts w:hint="eastAsia"/>
                <w:highlight w:val="none"/>
                <w:lang w:val="en-US" w:eastAsia="zh-CN"/>
              </w:rPr>
              <w:t>注：</w:t>
            </w:r>
            <w:r>
              <w:rPr>
                <w:rFonts w:hint="eastAsia"/>
                <w:highlight w:val="none"/>
              </w:rPr>
              <w:t>一个</w:t>
            </w:r>
            <w:r>
              <w:rPr>
                <w:rFonts w:hint="eastAsia"/>
                <w:highlight w:val="none"/>
                <w:lang w:val="en-US" w:eastAsia="zh-CN"/>
              </w:rPr>
              <w:t>合同</w:t>
            </w:r>
            <w:r>
              <w:rPr>
                <w:rFonts w:hint="eastAsia"/>
                <w:highlight w:val="none"/>
              </w:rPr>
              <w:t>计一个业绩</w:t>
            </w:r>
            <w:r>
              <w:rPr>
                <w:rFonts w:hint="eastAsia"/>
                <w:highlight w:val="none"/>
                <w:lang w:eastAsia="zh-CN"/>
              </w:rPr>
              <w:t>，</w:t>
            </w:r>
            <w:r>
              <w:rPr>
                <w:rFonts w:hint="eastAsia"/>
                <w:highlight w:val="none"/>
                <w:lang w:val="en-US" w:eastAsia="zh-CN"/>
              </w:rPr>
              <w:t>项目经理业绩与投标人业绩为同一项目时，可分别计分。</w:t>
            </w:r>
          </w:p>
        </w:tc>
      </w:tr>
      <w:tr w14:paraId="0B87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vAlign w:val="center"/>
          </w:tcPr>
          <w:p w14:paraId="313AD1FA">
            <w:pPr>
              <w:adjustRightInd w:val="0"/>
              <w:snapToGrid w:val="0"/>
              <w:jc w:val="center"/>
              <w:textAlignment w:val="baseline"/>
              <w:rPr>
                <w:rFonts w:hint="eastAsia" w:ascii="宋体" w:hAnsi="宋体"/>
                <w:highlight w:val="none"/>
              </w:rPr>
            </w:pPr>
          </w:p>
        </w:tc>
        <w:tc>
          <w:tcPr>
            <w:tcW w:w="1418" w:type="dxa"/>
            <w:vMerge w:val="continue"/>
            <w:vAlign w:val="center"/>
          </w:tcPr>
          <w:p w14:paraId="7D25DD5F">
            <w:pPr>
              <w:adjustRightInd w:val="0"/>
              <w:snapToGrid w:val="0"/>
              <w:jc w:val="center"/>
              <w:textAlignment w:val="baseline"/>
              <w:rPr>
                <w:rFonts w:hint="eastAsia" w:ascii="宋体" w:hAnsi="宋体"/>
                <w:highlight w:val="none"/>
              </w:rPr>
            </w:pPr>
          </w:p>
        </w:tc>
        <w:tc>
          <w:tcPr>
            <w:tcW w:w="1843" w:type="dxa"/>
            <w:vAlign w:val="center"/>
          </w:tcPr>
          <w:p w14:paraId="28BC82A0">
            <w:pPr>
              <w:rPr>
                <w:rFonts w:hint="eastAsia" w:ascii="宋体" w:hAnsi="宋体"/>
                <w:highlight w:val="none"/>
              </w:rPr>
            </w:pPr>
            <w:r>
              <w:rPr>
                <w:rFonts w:hint="eastAsia" w:ascii="宋体" w:hAnsi="宋体"/>
                <w:highlight w:val="none"/>
              </w:rPr>
              <w:t>其他主要人员（5分）</w:t>
            </w:r>
          </w:p>
        </w:tc>
        <w:tc>
          <w:tcPr>
            <w:tcW w:w="5589" w:type="dxa"/>
            <w:vAlign w:val="center"/>
          </w:tcPr>
          <w:p w14:paraId="51DC7D1C">
            <w:pPr>
              <w:autoSpaceDE w:val="0"/>
              <w:autoSpaceDN w:val="0"/>
              <w:adjustRightInd w:val="0"/>
              <w:snapToGrid w:val="0"/>
              <w:ind w:left="63" w:leftChars="30"/>
              <w:jc w:val="left"/>
              <w:textAlignment w:val="baseline"/>
              <w:rPr>
                <w:rFonts w:hint="eastAsia" w:ascii="宋体" w:hAnsi="宋体"/>
                <w:sz w:val="22"/>
                <w:highlight w:val="none"/>
              </w:rPr>
            </w:pPr>
            <w:r>
              <w:rPr>
                <w:rFonts w:hint="eastAsia" w:ascii="宋体" w:hAnsi="宋体"/>
                <w:highlight w:val="none"/>
              </w:rPr>
              <w:t>根据拟投入的其他主要人员的配备、素质及类似项目实施经验的丰富性（工作年限，从事相关工作经历）等方面进行</w:t>
            </w:r>
            <w:r>
              <w:rPr>
                <w:rFonts w:hint="eastAsia" w:ascii="宋体" w:hAnsi="宋体"/>
                <w:highlight w:val="none"/>
                <w:lang w:val="en-US" w:eastAsia="zh-CN"/>
              </w:rPr>
              <w:t>评审</w:t>
            </w:r>
            <w:r>
              <w:rPr>
                <w:rFonts w:hint="eastAsia" w:ascii="宋体" w:hAnsi="宋体"/>
                <w:sz w:val="22"/>
                <w:highlight w:val="none"/>
              </w:rPr>
              <w:t>；低于60%说明理由。</w:t>
            </w:r>
          </w:p>
        </w:tc>
      </w:tr>
      <w:tr w14:paraId="694F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Align w:val="center"/>
          </w:tcPr>
          <w:p w14:paraId="53E91564">
            <w:pPr>
              <w:adjustRightInd w:val="0"/>
              <w:snapToGrid w:val="0"/>
              <w:jc w:val="center"/>
              <w:textAlignment w:val="baseline"/>
              <w:rPr>
                <w:rFonts w:hint="eastAsia" w:ascii="宋体" w:hAnsi="宋体"/>
                <w:highlight w:val="none"/>
              </w:rPr>
            </w:pPr>
            <w:r>
              <w:rPr>
                <w:rFonts w:ascii="宋体" w:hAnsi="宋体"/>
                <w:highlight w:val="none"/>
              </w:rPr>
              <w:t>2.2.4(3)</w:t>
            </w:r>
          </w:p>
        </w:tc>
        <w:tc>
          <w:tcPr>
            <w:tcW w:w="1418" w:type="dxa"/>
            <w:vAlign w:val="center"/>
          </w:tcPr>
          <w:p w14:paraId="1172519F">
            <w:pPr>
              <w:adjustRightInd w:val="0"/>
              <w:snapToGrid w:val="0"/>
              <w:jc w:val="center"/>
              <w:textAlignment w:val="baseline"/>
              <w:rPr>
                <w:rFonts w:hint="eastAsia" w:ascii="宋体" w:hAnsi="宋体"/>
                <w:highlight w:val="none"/>
              </w:rPr>
            </w:pPr>
            <w:r>
              <w:rPr>
                <w:rFonts w:hint="eastAsia" w:ascii="宋体" w:hAnsi="宋体"/>
                <w:highlight w:val="none"/>
              </w:rPr>
              <w:t>投标报价评分标准</w:t>
            </w:r>
          </w:p>
        </w:tc>
        <w:tc>
          <w:tcPr>
            <w:tcW w:w="1843" w:type="dxa"/>
            <w:vAlign w:val="center"/>
          </w:tcPr>
          <w:p w14:paraId="64CF1192">
            <w:pPr>
              <w:rPr>
                <w:sz w:val="22"/>
                <w:highlight w:val="none"/>
              </w:rPr>
            </w:pPr>
            <w:r>
              <w:rPr>
                <w:rFonts w:hint="eastAsia"/>
                <w:sz w:val="22"/>
                <w:highlight w:val="none"/>
              </w:rPr>
              <w:t>评标价（5</w:t>
            </w:r>
            <w:r>
              <w:rPr>
                <w:sz w:val="22"/>
                <w:highlight w:val="none"/>
              </w:rPr>
              <w:t>0</w:t>
            </w:r>
            <w:r>
              <w:rPr>
                <w:rFonts w:hint="eastAsia"/>
                <w:sz w:val="22"/>
                <w:highlight w:val="none"/>
              </w:rPr>
              <w:t>分）</w:t>
            </w:r>
          </w:p>
        </w:tc>
        <w:tc>
          <w:tcPr>
            <w:tcW w:w="5589" w:type="dxa"/>
            <w:vAlign w:val="center"/>
          </w:tcPr>
          <w:p w14:paraId="3B07EEA7">
            <w:pPr>
              <w:adjustRightInd w:val="0"/>
              <w:snapToGrid w:val="0"/>
              <w:rPr>
                <w:highlight w:val="none"/>
              </w:rPr>
            </w:pPr>
            <w:r>
              <w:rPr>
                <w:rFonts w:hint="eastAsia"/>
                <w:highlight w:val="none"/>
              </w:rPr>
              <w:t>当投标人的偏差率为0时，投标报价分值得满分50分；偏差率按下列规定按比例内插，最低分值为零分。投标报价分值精确至小数点后两位。</w:t>
            </w:r>
          </w:p>
          <w:p w14:paraId="1AF42076">
            <w:pPr>
              <w:pStyle w:val="20"/>
              <w:spacing w:after="0"/>
              <w:rPr>
                <w:highlight w:val="none"/>
              </w:rPr>
            </w:pPr>
            <w:r>
              <w:rPr>
                <w:rFonts w:hint="eastAsia"/>
                <w:highlight w:val="none"/>
              </w:rPr>
              <w:t>评标价得分计算公式示例：</w:t>
            </w:r>
          </w:p>
          <w:p w14:paraId="702C479C">
            <w:pPr>
              <w:adjustRightInd w:val="0"/>
              <w:snapToGrid w:val="0"/>
              <w:rPr>
                <w:rFonts w:hint="eastAsia" w:eastAsia="宋体"/>
                <w:highlight w:val="none"/>
                <w:lang w:eastAsia="zh-CN"/>
              </w:rPr>
            </w:pPr>
            <w:r>
              <w:rPr>
                <w:rFonts w:hint="eastAsia"/>
                <w:highlight w:val="none"/>
              </w:rPr>
              <w:t>（</w:t>
            </w:r>
            <w:r>
              <w:rPr>
                <w:highlight w:val="none"/>
              </w:rPr>
              <w:t>1</w:t>
            </w:r>
            <w:r>
              <w:rPr>
                <w:rFonts w:hint="eastAsia"/>
                <w:highlight w:val="none"/>
              </w:rPr>
              <w:t>）如果投标人的评标价</w:t>
            </w:r>
            <w:r>
              <w:rPr>
                <w:highlight w:val="none"/>
              </w:rPr>
              <w:t>&gt;</w:t>
            </w:r>
            <w:r>
              <w:rPr>
                <w:rFonts w:hint="eastAsia"/>
                <w:highlight w:val="none"/>
              </w:rPr>
              <w:t>评标基准价，则评标价得分</w:t>
            </w:r>
            <w:r>
              <w:rPr>
                <w:highlight w:val="none"/>
              </w:rPr>
              <w:t>=P-</w:t>
            </w:r>
            <w:r>
              <w:rPr>
                <w:rFonts w:hint="eastAsia"/>
                <w:highlight w:val="none"/>
              </w:rPr>
              <w:t>偏差率</w:t>
            </w:r>
            <w:r>
              <w:rPr>
                <w:highlight w:val="none"/>
              </w:rPr>
              <w:t>*100*</w:t>
            </w:r>
            <w:r>
              <w:rPr>
                <w:rFonts w:hint="eastAsia"/>
                <w:highlight w:val="none"/>
                <w:lang w:val="en-US" w:eastAsia="zh-CN"/>
              </w:rPr>
              <w:t>1</w:t>
            </w:r>
          </w:p>
          <w:p w14:paraId="378F7F09">
            <w:pPr>
              <w:adjustRightInd w:val="0"/>
              <w:snapToGrid w:val="0"/>
              <w:rPr>
                <w:rFonts w:hint="default" w:eastAsia="宋体"/>
                <w:highlight w:val="none"/>
                <w:lang w:val="en-US" w:eastAsia="zh-CN"/>
              </w:rPr>
            </w:pPr>
            <w:r>
              <w:rPr>
                <w:rFonts w:hint="eastAsia"/>
                <w:highlight w:val="none"/>
              </w:rPr>
              <w:t>（</w:t>
            </w:r>
            <w:r>
              <w:rPr>
                <w:highlight w:val="none"/>
              </w:rPr>
              <w:t>2</w:t>
            </w:r>
            <w:r>
              <w:rPr>
                <w:rFonts w:hint="eastAsia"/>
                <w:highlight w:val="none"/>
              </w:rPr>
              <w:t>）如果投标人的评标价</w:t>
            </w:r>
            <w:r>
              <w:rPr>
                <w:highlight w:val="none"/>
              </w:rPr>
              <w:t>&lt;=</w:t>
            </w:r>
            <w:r>
              <w:rPr>
                <w:rFonts w:hint="eastAsia"/>
                <w:highlight w:val="none"/>
              </w:rPr>
              <w:t>评标基准价，则评标价得分</w:t>
            </w:r>
            <w:r>
              <w:rPr>
                <w:highlight w:val="none"/>
              </w:rPr>
              <w:t>=P+</w:t>
            </w:r>
            <w:r>
              <w:rPr>
                <w:rFonts w:hint="eastAsia"/>
                <w:highlight w:val="none"/>
              </w:rPr>
              <w:t>偏差率</w:t>
            </w:r>
            <w:r>
              <w:rPr>
                <w:highlight w:val="none"/>
              </w:rPr>
              <w:t>*100*</w:t>
            </w:r>
            <w:r>
              <w:rPr>
                <w:rFonts w:hint="eastAsia"/>
                <w:highlight w:val="none"/>
                <w:lang w:val="en-US" w:eastAsia="zh-CN"/>
              </w:rPr>
              <w:t>0.5</w:t>
            </w:r>
          </w:p>
          <w:p w14:paraId="589FC33E">
            <w:pPr>
              <w:adjustRightInd w:val="0"/>
              <w:snapToGrid w:val="0"/>
              <w:rPr>
                <w:highlight w:val="none"/>
              </w:rPr>
            </w:pPr>
            <w:r>
              <w:rPr>
                <w:rFonts w:hint="eastAsia"/>
                <w:highlight w:val="none"/>
              </w:rPr>
              <w:t>其中：</w:t>
            </w:r>
            <w:r>
              <w:rPr>
                <w:highlight w:val="none"/>
              </w:rPr>
              <w:t>P</w:t>
            </w:r>
            <w:r>
              <w:rPr>
                <w:rFonts w:hint="eastAsia"/>
                <w:highlight w:val="none"/>
              </w:rPr>
              <w:t>为评标价所占权重分值。</w:t>
            </w:r>
          </w:p>
        </w:tc>
      </w:tr>
      <w:tr w14:paraId="240D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vAlign w:val="center"/>
          </w:tcPr>
          <w:p w14:paraId="1C18888F">
            <w:pPr>
              <w:adjustRightInd w:val="0"/>
              <w:snapToGrid w:val="0"/>
              <w:jc w:val="center"/>
              <w:textAlignment w:val="baseline"/>
              <w:rPr>
                <w:rFonts w:hint="eastAsia" w:ascii="宋体" w:hAnsi="宋体"/>
                <w:highlight w:val="none"/>
              </w:rPr>
            </w:pPr>
            <w:r>
              <w:rPr>
                <w:rFonts w:ascii="宋体" w:hAnsi="宋体"/>
                <w:highlight w:val="none"/>
              </w:rPr>
              <w:t>2.2.4(4)</w:t>
            </w:r>
          </w:p>
        </w:tc>
        <w:tc>
          <w:tcPr>
            <w:tcW w:w="1418" w:type="dxa"/>
            <w:vMerge w:val="restart"/>
            <w:vAlign w:val="center"/>
          </w:tcPr>
          <w:p w14:paraId="339A2B70">
            <w:pPr>
              <w:adjustRightInd w:val="0"/>
              <w:snapToGrid w:val="0"/>
              <w:jc w:val="center"/>
              <w:textAlignment w:val="baseline"/>
              <w:rPr>
                <w:rFonts w:hint="eastAsia" w:ascii="宋体" w:hAnsi="宋体"/>
                <w:highlight w:val="none"/>
              </w:rPr>
            </w:pPr>
            <w:r>
              <w:rPr>
                <w:rFonts w:hint="eastAsia" w:ascii="宋体" w:hAnsi="宋体"/>
                <w:highlight w:val="none"/>
              </w:rPr>
              <w:t>其他因素评分标准</w:t>
            </w:r>
          </w:p>
        </w:tc>
        <w:tc>
          <w:tcPr>
            <w:tcW w:w="1843" w:type="dxa"/>
            <w:vAlign w:val="center"/>
          </w:tcPr>
          <w:p w14:paraId="43E7AA48">
            <w:pPr>
              <w:rPr>
                <w:rFonts w:hint="eastAsia" w:ascii="宋体" w:hAnsi="宋体"/>
                <w:highlight w:val="none"/>
              </w:rPr>
            </w:pPr>
            <w:r>
              <w:rPr>
                <w:rFonts w:hint="eastAsia" w:ascii="宋体" w:hAnsi="宋体"/>
                <w:highlight w:val="none"/>
              </w:rPr>
              <w:t>投标人业绩（15分）</w:t>
            </w:r>
          </w:p>
        </w:tc>
        <w:tc>
          <w:tcPr>
            <w:tcW w:w="5589" w:type="dxa"/>
            <w:vAlign w:val="center"/>
          </w:tcPr>
          <w:p w14:paraId="3BED4422">
            <w:pPr>
              <w:autoSpaceDE w:val="0"/>
              <w:autoSpaceDN w:val="0"/>
              <w:adjustRightInd w:val="0"/>
              <w:snapToGrid w:val="0"/>
              <w:ind w:left="63" w:leftChars="30"/>
              <w:jc w:val="left"/>
              <w:textAlignment w:val="baseline"/>
              <w:rPr>
                <w:rFonts w:hint="eastAsia" w:ascii="宋体" w:hAnsi="宋体"/>
                <w:highlight w:val="none"/>
              </w:rPr>
            </w:pPr>
            <w:r>
              <w:rPr>
                <w:rFonts w:hint="eastAsia" w:ascii="宋体" w:hAnsi="宋体"/>
                <w:highlight w:val="none"/>
              </w:rPr>
              <w:t>投标人满足资格条件的得基本分</w:t>
            </w:r>
            <w:r>
              <w:rPr>
                <w:rFonts w:ascii="宋体" w:hAnsi="宋体"/>
                <w:highlight w:val="none"/>
              </w:rPr>
              <w:t>9</w:t>
            </w:r>
            <w:r>
              <w:rPr>
                <w:rFonts w:hint="eastAsia" w:ascii="宋体" w:hAnsi="宋体"/>
                <w:highlight w:val="none"/>
              </w:rPr>
              <w:t>分；</w:t>
            </w:r>
          </w:p>
          <w:p w14:paraId="3F175FD3">
            <w:pPr>
              <w:autoSpaceDE w:val="0"/>
              <w:autoSpaceDN w:val="0"/>
              <w:adjustRightInd w:val="0"/>
              <w:snapToGrid w:val="0"/>
              <w:ind w:left="63" w:leftChars="30"/>
              <w:jc w:val="left"/>
              <w:textAlignment w:val="baseline"/>
              <w:rPr>
                <w:rFonts w:hint="eastAsia" w:ascii="宋体" w:hAnsi="宋体"/>
                <w:highlight w:val="none"/>
              </w:rPr>
            </w:pPr>
            <w:r>
              <w:rPr>
                <w:rFonts w:hint="eastAsia" w:ascii="宋体" w:hAnsi="宋体"/>
                <w:highlight w:val="none"/>
              </w:rPr>
              <w:t>在此基础上，每增加</w:t>
            </w:r>
            <w:r>
              <w:rPr>
                <w:rFonts w:ascii="宋体" w:hAnsi="宋体"/>
                <w:highlight w:val="none"/>
              </w:rPr>
              <w:t>1</w:t>
            </w:r>
            <w:r>
              <w:rPr>
                <w:rFonts w:hint="eastAsia" w:ascii="宋体" w:hAnsi="宋体"/>
                <w:highlight w:val="none"/>
              </w:rPr>
              <w:t>个满足资格条件要求的业绩，加</w:t>
            </w:r>
            <w:r>
              <w:rPr>
                <w:rFonts w:ascii="宋体" w:hAnsi="宋体"/>
                <w:highlight w:val="none"/>
              </w:rPr>
              <w:t>1.5</w:t>
            </w:r>
            <w:r>
              <w:rPr>
                <w:rFonts w:hint="eastAsia" w:ascii="宋体" w:hAnsi="宋体"/>
                <w:highlight w:val="none"/>
              </w:rPr>
              <w:t>分，最多加</w:t>
            </w:r>
            <w:r>
              <w:rPr>
                <w:rFonts w:ascii="宋体" w:hAnsi="宋体"/>
                <w:highlight w:val="none"/>
              </w:rPr>
              <w:t>6</w:t>
            </w:r>
            <w:r>
              <w:rPr>
                <w:rFonts w:hint="eastAsia" w:ascii="宋体" w:hAnsi="宋体"/>
                <w:highlight w:val="none"/>
              </w:rPr>
              <w:t>分；</w:t>
            </w:r>
          </w:p>
          <w:p w14:paraId="0FAB7410">
            <w:pPr>
              <w:autoSpaceDE w:val="0"/>
              <w:autoSpaceDN w:val="0"/>
              <w:adjustRightInd w:val="0"/>
              <w:snapToGrid w:val="0"/>
              <w:ind w:left="63" w:leftChars="30"/>
              <w:jc w:val="left"/>
              <w:textAlignment w:val="baseline"/>
              <w:rPr>
                <w:rFonts w:hint="eastAsia" w:ascii="宋体" w:hAnsi="宋体" w:eastAsia="宋体"/>
                <w:highlight w:val="none"/>
                <w:lang w:eastAsia="zh-CN"/>
              </w:rPr>
            </w:pPr>
            <w:r>
              <w:rPr>
                <w:rFonts w:hint="eastAsia"/>
                <w:highlight w:val="none"/>
                <w:lang w:val="en-US" w:eastAsia="zh-CN"/>
              </w:rPr>
              <w:t>注：</w:t>
            </w:r>
            <w:r>
              <w:rPr>
                <w:rFonts w:hint="eastAsia"/>
                <w:highlight w:val="none"/>
              </w:rPr>
              <w:t>一个</w:t>
            </w:r>
            <w:r>
              <w:rPr>
                <w:rFonts w:hint="eastAsia"/>
                <w:highlight w:val="none"/>
                <w:lang w:val="en-US" w:eastAsia="zh-CN"/>
              </w:rPr>
              <w:t>合同</w:t>
            </w:r>
            <w:r>
              <w:rPr>
                <w:rFonts w:hint="eastAsia"/>
                <w:highlight w:val="none"/>
              </w:rPr>
              <w:t>计一个业绩</w:t>
            </w:r>
            <w:r>
              <w:rPr>
                <w:rFonts w:hint="eastAsia"/>
                <w:highlight w:val="none"/>
                <w:lang w:eastAsia="zh-CN"/>
              </w:rPr>
              <w:t>。</w:t>
            </w:r>
          </w:p>
        </w:tc>
      </w:tr>
      <w:tr w14:paraId="4952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vAlign w:val="center"/>
          </w:tcPr>
          <w:p w14:paraId="2160E2AA">
            <w:pPr>
              <w:adjustRightInd w:val="0"/>
              <w:snapToGrid w:val="0"/>
              <w:jc w:val="center"/>
              <w:textAlignment w:val="baseline"/>
              <w:rPr>
                <w:rFonts w:hint="eastAsia" w:ascii="宋体" w:hAnsi="宋体"/>
                <w:highlight w:val="none"/>
              </w:rPr>
            </w:pPr>
          </w:p>
        </w:tc>
        <w:tc>
          <w:tcPr>
            <w:tcW w:w="1418" w:type="dxa"/>
            <w:vMerge w:val="continue"/>
            <w:vAlign w:val="center"/>
          </w:tcPr>
          <w:p w14:paraId="5D00EA48">
            <w:pPr>
              <w:adjustRightInd w:val="0"/>
              <w:snapToGrid w:val="0"/>
              <w:jc w:val="center"/>
              <w:textAlignment w:val="baseline"/>
              <w:rPr>
                <w:rFonts w:hint="eastAsia" w:ascii="宋体" w:hAnsi="宋体"/>
                <w:highlight w:val="none"/>
              </w:rPr>
            </w:pPr>
          </w:p>
        </w:tc>
        <w:tc>
          <w:tcPr>
            <w:tcW w:w="1843" w:type="dxa"/>
            <w:vAlign w:val="center"/>
          </w:tcPr>
          <w:p w14:paraId="04ACDA6A">
            <w:pPr>
              <w:rPr>
                <w:sz w:val="22"/>
                <w:highlight w:val="none"/>
              </w:rPr>
            </w:pPr>
            <w:r>
              <w:rPr>
                <w:rFonts w:hint="eastAsia" w:ascii="宋体" w:hAnsi="宋体" w:cs="宋体"/>
                <w:kern w:val="0"/>
                <w:highlight w:val="none"/>
                <w:lang w:val="ru-RU"/>
              </w:rPr>
              <w:t>履约信誉（5分）</w:t>
            </w:r>
          </w:p>
        </w:tc>
        <w:tc>
          <w:tcPr>
            <w:tcW w:w="5589" w:type="dxa"/>
            <w:vAlign w:val="center"/>
          </w:tcPr>
          <w:p w14:paraId="4E4CB427">
            <w:pPr>
              <w:snapToGrid w:val="0"/>
              <w:jc w:val="left"/>
              <w:rPr>
                <w:rFonts w:hint="eastAsia" w:ascii="宋体" w:hAnsi="宋体" w:cs="宋体"/>
                <w:kern w:val="0"/>
                <w:highlight w:val="none"/>
                <w:lang w:val="zh-CN" w:bidi="zh-CN"/>
              </w:rPr>
            </w:pPr>
            <w:r>
              <w:rPr>
                <w:rFonts w:hint="eastAsia" w:ascii="宋体" w:hAnsi="宋体" w:cs="宋体"/>
                <w:kern w:val="0"/>
                <w:highlight w:val="none"/>
                <w:lang w:val="zh-CN" w:bidi="zh-CN"/>
              </w:rPr>
              <w:t>履约信誉（满分</w:t>
            </w:r>
            <w:r>
              <w:rPr>
                <w:rFonts w:ascii="宋体" w:hAnsi="宋体" w:cs="宋体"/>
                <w:kern w:val="0"/>
                <w:highlight w:val="none"/>
                <w:lang w:val="zh-CN" w:bidi="zh-CN"/>
              </w:rPr>
              <w:t>5</w:t>
            </w:r>
            <w:r>
              <w:rPr>
                <w:rFonts w:hint="eastAsia" w:ascii="宋体" w:hAnsi="宋体" w:cs="宋体"/>
                <w:kern w:val="0"/>
                <w:highlight w:val="none"/>
                <w:lang w:val="zh-CN" w:bidi="zh-CN"/>
              </w:rPr>
              <w:t>分）</w:t>
            </w:r>
          </w:p>
          <w:p w14:paraId="293A1B48">
            <w:pPr>
              <w:autoSpaceDE w:val="0"/>
              <w:autoSpaceDN w:val="0"/>
              <w:adjustRightInd w:val="0"/>
              <w:snapToGrid w:val="0"/>
              <w:ind w:left="63" w:leftChars="30"/>
              <w:jc w:val="left"/>
              <w:textAlignment w:val="baseline"/>
              <w:rPr>
                <w:rFonts w:ascii="宋体" w:hAnsi="宋体" w:cs="宋体"/>
                <w:kern w:val="0"/>
                <w:highlight w:val="none"/>
                <w:lang w:val="zh-CN" w:bidi="zh-CN"/>
              </w:rPr>
            </w:pPr>
            <w:r>
              <w:rPr>
                <w:rFonts w:hint="eastAsia" w:ascii="宋体" w:hAnsi="宋体" w:cs="宋体"/>
                <w:kern w:val="0"/>
                <w:highlight w:val="none"/>
                <w:lang w:val="zh-CN" w:bidi="zh-CN"/>
              </w:rPr>
              <w:t>按照《江苏省公路水运建设市场信用信息管理办法》，对在投标截止当天查询的投标人在江苏省公路水路建设市场从业单位信用评定结果中的信用等级分数进行评定。</w:t>
            </w:r>
          </w:p>
          <w:p w14:paraId="6FA2F1BD">
            <w:pPr>
              <w:autoSpaceDE w:val="0"/>
              <w:autoSpaceDN w:val="0"/>
              <w:adjustRightInd w:val="0"/>
              <w:snapToGrid w:val="0"/>
              <w:ind w:left="63" w:leftChars="30"/>
              <w:jc w:val="left"/>
              <w:textAlignment w:val="baseline"/>
              <w:rPr>
                <w:rFonts w:ascii="宋体" w:hAnsi="宋体" w:cs="宋体"/>
                <w:kern w:val="0"/>
                <w:highlight w:val="none"/>
                <w:lang w:val="zh-CN" w:bidi="zh-CN"/>
              </w:rPr>
            </w:pPr>
            <w:r>
              <w:rPr>
                <w:rFonts w:hint="eastAsia" w:ascii="宋体" w:hAnsi="宋体" w:cs="宋体"/>
                <w:kern w:val="0"/>
                <w:highlight w:val="none"/>
                <w:lang w:val="zh-CN" w:bidi="zh-CN"/>
              </w:rPr>
              <w:t>①信用等级为AA级或红名单的企业，信用分为X分；</w:t>
            </w:r>
          </w:p>
          <w:p w14:paraId="1BECDC0E">
            <w:pPr>
              <w:autoSpaceDE w:val="0"/>
              <w:autoSpaceDN w:val="0"/>
              <w:adjustRightInd w:val="0"/>
              <w:snapToGrid w:val="0"/>
              <w:ind w:left="63" w:leftChars="30"/>
              <w:jc w:val="left"/>
              <w:textAlignment w:val="baseline"/>
              <w:rPr>
                <w:rFonts w:ascii="宋体" w:hAnsi="宋体" w:cs="宋体"/>
                <w:kern w:val="0"/>
                <w:highlight w:val="none"/>
                <w:lang w:val="zh-CN" w:bidi="zh-CN"/>
              </w:rPr>
            </w:pPr>
            <w:r>
              <w:rPr>
                <w:rFonts w:hint="eastAsia" w:ascii="宋体" w:hAnsi="宋体" w:cs="宋体"/>
                <w:kern w:val="0"/>
                <w:highlight w:val="none"/>
                <w:lang w:val="zh-CN" w:bidi="zh-CN"/>
              </w:rPr>
              <w:t>②信用等级为A级（含暂定A级）的企业，信用分为0.8X～0.95X分，具体按下列公式进行计算：Y=0.15*X*（Z-85）/10+0.8*X</w:t>
            </w:r>
          </w:p>
          <w:p w14:paraId="4F1028E0">
            <w:pPr>
              <w:autoSpaceDE w:val="0"/>
              <w:autoSpaceDN w:val="0"/>
              <w:adjustRightInd w:val="0"/>
              <w:snapToGrid w:val="0"/>
              <w:ind w:left="63" w:leftChars="30"/>
              <w:jc w:val="left"/>
              <w:textAlignment w:val="baseline"/>
              <w:rPr>
                <w:rFonts w:ascii="宋体" w:hAnsi="宋体" w:cs="宋体"/>
                <w:kern w:val="0"/>
                <w:highlight w:val="none"/>
                <w:lang w:val="zh-CN" w:bidi="zh-CN"/>
              </w:rPr>
            </w:pPr>
            <w:r>
              <w:rPr>
                <w:rFonts w:hint="eastAsia" w:ascii="宋体" w:hAnsi="宋体" w:cs="宋体"/>
                <w:kern w:val="0"/>
                <w:highlight w:val="none"/>
                <w:lang w:val="zh-CN" w:bidi="zh-CN"/>
              </w:rPr>
              <w:t>③信用等级为B级的企业，信用分为0.65X～0.8X分，具体按下列公式进行计算：Y=0.15*X*（Z-75）/10+0.65*X</w:t>
            </w:r>
          </w:p>
          <w:p w14:paraId="4466C8C8">
            <w:pPr>
              <w:autoSpaceDE w:val="0"/>
              <w:autoSpaceDN w:val="0"/>
              <w:adjustRightInd w:val="0"/>
              <w:snapToGrid w:val="0"/>
              <w:ind w:left="63" w:leftChars="30"/>
              <w:jc w:val="left"/>
              <w:textAlignment w:val="baseline"/>
              <w:rPr>
                <w:rFonts w:ascii="宋体" w:hAnsi="宋体" w:cs="宋体"/>
                <w:kern w:val="0"/>
                <w:highlight w:val="none"/>
                <w:lang w:val="zh-CN" w:bidi="zh-CN"/>
              </w:rPr>
            </w:pPr>
            <w:r>
              <w:rPr>
                <w:rFonts w:hint="eastAsia" w:ascii="宋体" w:hAnsi="宋体" w:cs="宋体"/>
                <w:kern w:val="0"/>
                <w:highlight w:val="none"/>
                <w:lang w:val="zh-CN" w:bidi="zh-CN"/>
              </w:rPr>
              <w:t>④信用等级为C级的企业，信用分为0.45X～0.6X分，具体按下列公式进行计算： Y=0.15*X*（Z-60）/15+0.45*X</w:t>
            </w:r>
          </w:p>
          <w:p w14:paraId="33EE8D7E">
            <w:pPr>
              <w:autoSpaceDE w:val="0"/>
              <w:autoSpaceDN w:val="0"/>
              <w:adjustRightInd w:val="0"/>
              <w:snapToGrid w:val="0"/>
              <w:ind w:left="63" w:leftChars="30"/>
              <w:jc w:val="left"/>
              <w:textAlignment w:val="baseline"/>
              <w:rPr>
                <w:sz w:val="22"/>
                <w:highlight w:val="none"/>
              </w:rPr>
            </w:pPr>
            <w:r>
              <w:rPr>
                <w:rFonts w:hint="eastAsia" w:ascii="宋体" w:hAnsi="宋体" w:cs="宋体"/>
                <w:kern w:val="0"/>
                <w:highlight w:val="none"/>
                <w:lang w:val="zh-CN" w:bidi="zh-CN"/>
              </w:rPr>
              <w:t>注：X为履约信誉分满分值（X=5），Y为投标人在本次投标活动中的履约信誉分值，Z为企业最近一次信用等级评定分值。无评定分值的A级企业，Z按85计算；暂A级企业，Z按85计算；无评定分值的B级企业，Z按7</w:t>
            </w:r>
            <w:r>
              <w:rPr>
                <w:rFonts w:hint="eastAsia" w:ascii="宋体" w:hAnsi="宋体" w:cs="宋体"/>
                <w:kern w:val="0"/>
                <w:highlight w:val="none"/>
                <w:lang w:bidi="zh-CN"/>
              </w:rPr>
              <w:t>5</w:t>
            </w:r>
            <w:r>
              <w:rPr>
                <w:rFonts w:hint="eastAsia" w:ascii="宋体" w:hAnsi="宋体" w:cs="宋体"/>
                <w:kern w:val="0"/>
                <w:highlight w:val="none"/>
                <w:lang w:val="zh-CN" w:bidi="zh-CN"/>
              </w:rPr>
              <w:t>计算；无评定分值的C级企业，Z按60计算。</w:t>
            </w:r>
          </w:p>
        </w:tc>
      </w:tr>
      <w:tr w14:paraId="799F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652" w:type="dxa"/>
            <w:gridSpan w:val="4"/>
            <w:vAlign w:val="center"/>
          </w:tcPr>
          <w:p w14:paraId="350F44EE">
            <w:pPr>
              <w:pStyle w:val="20"/>
              <w:adjustRightInd w:val="0"/>
              <w:snapToGrid w:val="0"/>
              <w:spacing w:after="0"/>
              <w:rPr>
                <w:highlight w:val="none"/>
              </w:rPr>
            </w:pPr>
            <w:r>
              <w:rPr>
                <w:rFonts w:hint="eastAsia" w:ascii="宋体" w:hAnsi="宋体"/>
                <w:b/>
                <w:highlight w:val="none"/>
              </w:rPr>
              <w:t>需要补充的其他内容：</w:t>
            </w:r>
          </w:p>
          <w:p w14:paraId="2ADE0F24">
            <w:pPr>
              <w:pStyle w:val="20"/>
              <w:adjustRightInd w:val="0"/>
              <w:snapToGrid w:val="0"/>
              <w:spacing w:after="0"/>
              <w:rPr>
                <w:rFonts w:hint="eastAsia" w:ascii="宋体" w:hAnsi="宋体"/>
                <w:highlight w:val="none"/>
              </w:rPr>
            </w:pPr>
            <w:r>
              <w:rPr>
                <w:rFonts w:hint="eastAsia" w:ascii="宋体" w:hAnsi="宋体"/>
                <w:highlight w:val="none"/>
              </w:rPr>
              <w:t>1、第一条 评标方法</w:t>
            </w:r>
          </w:p>
          <w:p w14:paraId="7C66D7AC">
            <w:pPr>
              <w:pStyle w:val="20"/>
              <w:adjustRightInd w:val="0"/>
              <w:snapToGrid w:val="0"/>
              <w:spacing w:after="0"/>
              <w:rPr>
                <w:rFonts w:hint="eastAsia" w:ascii="宋体" w:hAnsi="宋体"/>
                <w:highlight w:val="none"/>
              </w:rPr>
            </w:pPr>
            <w:r>
              <w:rPr>
                <w:rFonts w:hint="eastAsia" w:ascii="宋体" w:hAnsi="宋体"/>
                <w:highlight w:val="none"/>
              </w:rPr>
              <w:t>修改为：</w:t>
            </w:r>
          </w:p>
          <w:p w14:paraId="698C8611">
            <w:pPr>
              <w:pStyle w:val="20"/>
              <w:adjustRightInd w:val="0"/>
              <w:snapToGrid w:val="0"/>
              <w:spacing w:after="0"/>
              <w:rPr>
                <w:rFonts w:hint="eastAsia" w:ascii="宋体" w:hAnsi="宋体"/>
                <w:highlight w:val="none"/>
              </w:rPr>
            </w:pPr>
            <w:r>
              <w:rPr>
                <w:rFonts w:hint="eastAsia" w:ascii="宋体" w:hAnsi="宋体"/>
                <w:highlight w:val="none"/>
              </w:rPr>
              <w:t>本次评标采用综合评估法。评标委员会对满足招标文件实质性要求的投标文件，按照本章第</w:t>
            </w:r>
            <w:r>
              <w:rPr>
                <w:rFonts w:ascii="宋体" w:hAnsi="宋体"/>
                <w:highlight w:val="none"/>
              </w:rPr>
              <w:t>2.2</w:t>
            </w:r>
            <w:r>
              <w:rPr>
                <w:rFonts w:hint="eastAsia" w:ascii="宋体" w:hAnsi="宋体"/>
                <w:highlight w:val="none"/>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w:t>
            </w:r>
          </w:p>
          <w:p w14:paraId="3EF8EFB7">
            <w:pPr>
              <w:pStyle w:val="20"/>
              <w:adjustRightInd w:val="0"/>
              <w:snapToGrid w:val="0"/>
              <w:spacing w:after="0"/>
              <w:rPr>
                <w:rFonts w:hint="eastAsia" w:ascii="宋体" w:hAnsi="宋体"/>
                <w:highlight w:val="none"/>
              </w:rPr>
            </w:pPr>
            <w:r>
              <w:rPr>
                <w:rFonts w:hint="eastAsia" w:ascii="宋体" w:hAnsi="宋体"/>
                <w:highlight w:val="none"/>
              </w:rPr>
              <w:t>2、第3.2.1项增加：第一信封（商务及技术文件）各评分因素细分项（履约信誉评分项除外）得分一般不得低于其权重分值的60%，且各评分因素细分项得分应以评标委员会各成员的打分平均值（保留小数点后两位，小数点后第三位“四舍五入”）确定，评标委员会成员总数为7人或7人以上时，该平均值以去掉一个最高和一个最低分后计算。评标委员会成员对某一项评分因素的评分低于权重分值60%的，应在评标</w:t>
            </w:r>
            <w:r>
              <w:rPr>
                <w:rFonts w:hint="eastAsia" w:ascii="宋体" w:hAnsi="宋体"/>
                <w:highlight w:val="none"/>
                <w:lang w:val="en-US" w:eastAsia="zh-CN"/>
              </w:rPr>
              <w:t>报告</w:t>
            </w:r>
            <w:r>
              <w:rPr>
                <w:rFonts w:hint="eastAsia" w:ascii="宋体" w:hAnsi="宋体"/>
                <w:highlight w:val="none"/>
              </w:rPr>
              <w:t>中作出说明。第一信封各评分因素细分项得分之和即为各投标人的第一信封综合得分。评标办法其他地方要求与本款内容不一致的，以本款内容为准。</w:t>
            </w:r>
          </w:p>
          <w:p w14:paraId="3DB7F910">
            <w:pPr>
              <w:pStyle w:val="20"/>
              <w:adjustRightInd w:val="0"/>
              <w:snapToGrid w:val="0"/>
              <w:spacing w:after="0"/>
              <w:rPr>
                <w:rFonts w:hint="eastAsia" w:ascii="宋体" w:hAnsi="宋体"/>
                <w:highlight w:val="none"/>
              </w:rPr>
            </w:pPr>
            <w:r>
              <w:rPr>
                <w:rFonts w:hint="eastAsia" w:ascii="宋体" w:hAnsi="宋体"/>
                <w:highlight w:val="none"/>
              </w:rPr>
              <w:t>3、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14:paraId="268927A7">
            <w:pPr>
              <w:pStyle w:val="20"/>
              <w:adjustRightInd w:val="0"/>
              <w:snapToGrid w:val="0"/>
              <w:spacing w:after="0"/>
              <w:rPr>
                <w:rFonts w:hint="eastAsia" w:ascii="宋体" w:hAnsi="宋体"/>
                <w:highlight w:val="none"/>
              </w:rPr>
            </w:pPr>
            <w:r>
              <w:rPr>
                <w:rFonts w:hint="eastAsia" w:ascii="宋体" w:hAnsi="宋体"/>
                <w:highlight w:val="none"/>
              </w:rPr>
              <w:t>当出现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tc>
      </w:tr>
    </w:tbl>
    <w:p w14:paraId="2445DE95">
      <w:pPr>
        <w:pStyle w:val="99"/>
        <w:ind w:firstLine="482"/>
        <w:rPr>
          <w:rFonts w:hint="eastAsia"/>
          <w:b/>
          <w:color w:val="000000"/>
          <w:sz w:val="24"/>
          <w:szCs w:val="24"/>
          <w:highlight w:val="none"/>
        </w:rPr>
      </w:pPr>
      <w:bookmarkStart w:id="64" w:name="_Hlk119345489"/>
    </w:p>
    <w:bookmarkEnd w:id="63"/>
    <w:p w14:paraId="5E82368D">
      <w:pPr>
        <w:pStyle w:val="20"/>
        <w:rPr>
          <w:rFonts w:hint="eastAsia" w:ascii="宋体" w:hAnsi="宋体"/>
          <w:highlight w:val="none"/>
        </w:rPr>
      </w:pPr>
      <w:r>
        <w:rPr>
          <w:highlight w:val="none"/>
        </w:rPr>
        <w:br w:type="page"/>
      </w:r>
    </w:p>
    <w:bookmarkEnd w:id="64"/>
    <w:p w14:paraId="75D246C5">
      <w:pPr>
        <w:autoSpaceDE w:val="0"/>
        <w:autoSpaceDN w:val="0"/>
        <w:adjustRightInd w:val="0"/>
        <w:snapToGrid w:val="0"/>
        <w:spacing w:line="360" w:lineRule="auto"/>
        <w:rPr>
          <w:rFonts w:hint="eastAsia" w:ascii="宋体" w:hAnsi="宋体" w:cs="MingLiU"/>
          <w:kern w:val="0"/>
          <w:highlight w:val="none"/>
        </w:rPr>
      </w:pPr>
      <w:bookmarkStart w:id="65" w:name="_Hlk116562742"/>
      <w:r>
        <w:rPr>
          <w:rFonts w:ascii="宋体" w:hAnsi="宋体"/>
          <w:kern w:val="0"/>
          <w:highlight w:val="none"/>
        </w:rPr>
        <w:t xml:space="preserve">1.  </w:t>
      </w:r>
      <w:r>
        <w:rPr>
          <w:rFonts w:hint="eastAsia" w:ascii="宋体" w:hAnsi="宋体" w:cs="MingLiU"/>
          <w:kern w:val="0"/>
          <w:highlight w:val="none"/>
        </w:rPr>
        <w:t>评标方法</w:t>
      </w:r>
    </w:p>
    <w:p w14:paraId="4B8E952E">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本次评标采用综合评估法。评标委员会对满足招标文件实质性要求的投标文件，按照本章第</w:t>
      </w:r>
      <w:r>
        <w:rPr>
          <w:rFonts w:ascii="宋体" w:hAnsi="宋体"/>
          <w:kern w:val="0"/>
          <w:highlight w:val="none"/>
        </w:rPr>
        <w:t xml:space="preserve"> 2.2 </w:t>
      </w:r>
      <w:r>
        <w:rPr>
          <w:rFonts w:hint="eastAsia" w:ascii="宋体" w:hAnsi="宋体" w:cs="MingLiU"/>
          <w:kern w:val="0"/>
          <w:highlight w:val="none"/>
        </w:rPr>
        <w:t>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2CA188A7">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  </w:t>
      </w:r>
      <w:r>
        <w:rPr>
          <w:rFonts w:hint="eastAsia" w:ascii="宋体" w:hAnsi="宋体" w:cs="MingLiU"/>
          <w:kern w:val="0"/>
          <w:highlight w:val="none"/>
        </w:rPr>
        <w:t>评审标准</w:t>
      </w:r>
    </w:p>
    <w:p w14:paraId="6A23DD61">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2.1  </w:t>
      </w:r>
      <w:r>
        <w:rPr>
          <w:rFonts w:hint="eastAsia" w:ascii="宋体" w:hAnsi="宋体" w:cs="MingLiU"/>
          <w:kern w:val="0"/>
          <w:highlight w:val="none"/>
        </w:rPr>
        <w:t>初步评审标准</w:t>
      </w:r>
    </w:p>
    <w:p w14:paraId="31198FDB">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2.1.1  </w:t>
      </w:r>
      <w:r>
        <w:rPr>
          <w:rFonts w:hint="eastAsia" w:ascii="宋体" w:hAnsi="宋体" w:cs="MingLiU"/>
          <w:kern w:val="0"/>
          <w:highlight w:val="none"/>
        </w:rPr>
        <w:t>形式评审标准：见评标办法前附表。</w:t>
      </w:r>
    </w:p>
    <w:p w14:paraId="0C27ED3B">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2.1.2  </w:t>
      </w:r>
      <w:r>
        <w:rPr>
          <w:rFonts w:hint="eastAsia" w:ascii="宋体" w:hAnsi="宋体" w:cs="MingLiU"/>
          <w:kern w:val="0"/>
          <w:highlight w:val="none"/>
        </w:rPr>
        <w:t>资格评审标准：见评标办法前附表（适用于未进行资格预审的）。</w:t>
      </w:r>
    </w:p>
    <w:p w14:paraId="7E0CB8A2">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2.1.2  </w:t>
      </w:r>
      <w:r>
        <w:rPr>
          <w:rFonts w:hint="eastAsia" w:ascii="宋体" w:hAnsi="宋体" w:cs="MingLiU"/>
          <w:kern w:val="0"/>
          <w:highlight w:val="none"/>
        </w:rPr>
        <w:t>资格评审标准：见资格预审文件第三章“资格审查办法”详细审查标准（适用于已进行资格预审的）。</w:t>
      </w:r>
    </w:p>
    <w:p w14:paraId="7765AB2E">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2.1.3  </w:t>
      </w:r>
      <w:r>
        <w:rPr>
          <w:rFonts w:hint="eastAsia" w:ascii="宋体" w:hAnsi="宋体" w:cs="MingLiU"/>
          <w:kern w:val="0"/>
          <w:highlight w:val="none"/>
        </w:rPr>
        <w:t>响应性评审标准：见评标办法前附表。</w:t>
      </w:r>
    </w:p>
    <w:p w14:paraId="70509E00">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2.2  </w:t>
      </w:r>
      <w:r>
        <w:rPr>
          <w:rFonts w:hint="eastAsia" w:ascii="宋体" w:hAnsi="宋体" w:cs="MingLiU"/>
          <w:kern w:val="0"/>
          <w:highlight w:val="none"/>
        </w:rPr>
        <w:t>分值构成与评分标准</w:t>
      </w:r>
    </w:p>
    <w:p w14:paraId="5DD30B15">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2.2.1  </w:t>
      </w:r>
      <w:r>
        <w:rPr>
          <w:rFonts w:hint="eastAsia" w:ascii="宋体" w:hAnsi="宋体" w:cs="MingLiU"/>
          <w:kern w:val="0"/>
          <w:highlight w:val="none"/>
        </w:rPr>
        <w:t>分值构成</w:t>
      </w:r>
    </w:p>
    <w:p w14:paraId="282B300C">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1</w:t>
      </w:r>
      <w:r>
        <w:rPr>
          <w:rFonts w:hint="eastAsia" w:ascii="宋体" w:hAnsi="宋体" w:cs="MingLiU"/>
          <w:kern w:val="0"/>
          <w:highlight w:val="none"/>
        </w:rPr>
        <w:t>）施工组织设计：见评标办法前附表；</w:t>
      </w:r>
    </w:p>
    <w:p w14:paraId="0CD186DC">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2</w:t>
      </w:r>
      <w:r>
        <w:rPr>
          <w:rFonts w:hint="eastAsia" w:ascii="宋体" w:hAnsi="宋体" w:cs="MingLiU"/>
          <w:kern w:val="0"/>
          <w:highlight w:val="none"/>
        </w:rPr>
        <w:t>）项目管理机构：见评标办法前附表；</w:t>
      </w:r>
    </w:p>
    <w:p w14:paraId="687C03CA">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3</w:t>
      </w:r>
      <w:r>
        <w:rPr>
          <w:rFonts w:hint="eastAsia" w:ascii="宋体" w:hAnsi="宋体" w:cs="MingLiU"/>
          <w:kern w:val="0"/>
          <w:highlight w:val="none"/>
        </w:rPr>
        <w:t>）投标报价：见评标办法前附表；</w:t>
      </w:r>
    </w:p>
    <w:p w14:paraId="0C83C134">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4</w:t>
      </w:r>
      <w:r>
        <w:rPr>
          <w:rFonts w:hint="eastAsia" w:ascii="宋体" w:hAnsi="宋体" w:cs="MingLiU"/>
          <w:kern w:val="0"/>
          <w:highlight w:val="none"/>
        </w:rPr>
        <w:t>）其他评分因素：见评标办法前附表。</w:t>
      </w:r>
    </w:p>
    <w:p w14:paraId="0409C4A5">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2.2.2  </w:t>
      </w:r>
      <w:r>
        <w:rPr>
          <w:rFonts w:hint="eastAsia" w:ascii="宋体" w:hAnsi="宋体" w:cs="MingLiU"/>
          <w:kern w:val="0"/>
          <w:highlight w:val="none"/>
        </w:rPr>
        <w:t>评标基准价计算</w:t>
      </w:r>
    </w:p>
    <w:p w14:paraId="36B41A64">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评标基准价计算方法：见评标办法前附表。</w:t>
      </w:r>
    </w:p>
    <w:p w14:paraId="4BC31554">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2.2.3  </w:t>
      </w:r>
      <w:r>
        <w:rPr>
          <w:rFonts w:hint="eastAsia" w:ascii="宋体" w:hAnsi="宋体" w:cs="MingLiU"/>
          <w:kern w:val="0"/>
          <w:highlight w:val="none"/>
        </w:rPr>
        <w:t>投标报价的偏差率计算</w:t>
      </w:r>
    </w:p>
    <w:p w14:paraId="0D24AFD9">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投标报价的偏差率计算公式：见评标办法前附表。</w:t>
      </w:r>
    </w:p>
    <w:p w14:paraId="5443E2D2">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2.2.4  </w:t>
      </w:r>
      <w:r>
        <w:rPr>
          <w:rFonts w:hint="eastAsia" w:ascii="宋体" w:hAnsi="宋体" w:cs="MingLiU"/>
          <w:kern w:val="0"/>
          <w:highlight w:val="none"/>
        </w:rPr>
        <w:t>评分标准</w:t>
      </w:r>
    </w:p>
    <w:p w14:paraId="20C40354">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1</w:t>
      </w:r>
      <w:r>
        <w:rPr>
          <w:rFonts w:hint="eastAsia" w:ascii="宋体" w:hAnsi="宋体" w:cs="MingLiU"/>
          <w:kern w:val="0"/>
          <w:highlight w:val="none"/>
        </w:rPr>
        <w:t>）施工组织设计评分标准：见评标办法前附表；</w:t>
      </w:r>
    </w:p>
    <w:p w14:paraId="7817B54C">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2</w:t>
      </w:r>
      <w:r>
        <w:rPr>
          <w:rFonts w:hint="eastAsia" w:ascii="宋体" w:hAnsi="宋体" w:cs="MingLiU"/>
          <w:kern w:val="0"/>
          <w:highlight w:val="none"/>
        </w:rPr>
        <w:t>）项目管理机构评分标准：见评标办法前附表；</w:t>
      </w:r>
    </w:p>
    <w:p w14:paraId="5773D938">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3</w:t>
      </w:r>
      <w:r>
        <w:rPr>
          <w:rFonts w:hint="eastAsia" w:ascii="宋体" w:hAnsi="宋体" w:cs="MingLiU"/>
          <w:kern w:val="0"/>
          <w:highlight w:val="none"/>
        </w:rPr>
        <w:t>）投标报价评分标准：见评标办法前附表；</w:t>
      </w:r>
    </w:p>
    <w:p w14:paraId="26D386A1">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4</w:t>
      </w:r>
      <w:r>
        <w:rPr>
          <w:rFonts w:hint="eastAsia" w:ascii="宋体" w:hAnsi="宋体" w:cs="MingLiU"/>
          <w:kern w:val="0"/>
          <w:highlight w:val="none"/>
        </w:rPr>
        <w:t>）其他因素评分标准：见评标办法前附表。</w:t>
      </w:r>
    </w:p>
    <w:p w14:paraId="7D6F362B">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  </w:t>
      </w:r>
      <w:r>
        <w:rPr>
          <w:rFonts w:hint="eastAsia" w:ascii="宋体" w:hAnsi="宋体" w:cs="MingLiU"/>
          <w:kern w:val="0"/>
          <w:highlight w:val="none"/>
        </w:rPr>
        <w:t>评标程序</w:t>
      </w:r>
    </w:p>
    <w:p w14:paraId="713AA49E">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3.1  </w:t>
      </w:r>
      <w:r>
        <w:rPr>
          <w:rFonts w:hint="eastAsia" w:ascii="宋体" w:hAnsi="宋体" w:cs="MingLiU"/>
          <w:kern w:val="0"/>
          <w:highlight w:val="none"/>
        </w:rPr>
        <w:t>初步评审</w:t>
      </w:r>
    </w:p>
    <w:p w14:paraId="6C98FB9A">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3.1.1  </w:t>
      </w:r>
      <w:r>
        <w:rPr>
          <w:rFonts w:hint="eastAsia" w:ascii="宋体" w:hAnsi="宋体" w:cs="MingLiU"/>
          <w:kern w:val="0"/>
          <w:highlight w:val="none"/>
        </w:rPr>
        <w:t>评标委员会可以要求投标人提交第二章“投标人须知”第</w:t>
      </w:r>
      <w:r>
        <w:rPr>
          <w:rFonts w:ascii="宋体" w:hAnsi="宋体"/>
          <w:kern w:val="0"/>
          <w:highlight w:val="none"/>
        </w:rPr>
        <w:t xml:space="preserve"> 3.5.1 </w:t>
      </w:r>
      <w:r>
        <w:rPr>
          <w:rFonts w:hint="eastAsia" w:ascii="宋体" w:hAnsi="宋体" w:cs="MingLiU"/>
          <w:kern w:val="0"/>
          <w:highlight w:val="none"/>
        </w:rPr>
        <w:t>项至第</w:t>
      </w:r>
      <w:r>
        <w:rPr>
          <w:rFonts w:ascii="宋体" w:hAnsi="宋体"/>
          <w:kern w:val="0"/>
          <w:highlight w:val="none"/>
        </w:rPr>
        <w:t xml:space="preserve"> 3.5.5 </w:t>
      </w:r>
      <w:r>
        <w:rPr>
          <w:rFonts w:hint="eastAsia" w:ascii="宋体" w:hAnsi="宋体" w:cs="MingLiU"/>
          <w:kern w:val="0"/>
          <w:highlight w:val="none"/>
        </w:rPr>
        <w:t>项规定的有关证明和证件的原件，以便核验。评标委员会依据本章第</w:t>
      </w:r>
      <w:r>
        <w:rPr>
          <w:rFonts w:ascii="宋体" w:hAnsi="宋体"/>
          <w:kern w:val="0"/>
          <w:highlight w:val="none"/>
        </w:rPr>
        <w:t xml:space="preserve"> 2.1 </w:t>
      </w:r>
      <w:r>
        <w:rPr>
          <w:rFonts w:hint="eastAsia" w:ascii="宋体" w:hAnsi="宋体" w:cs="MingLiU"/>
          <w:kern w:val="0"/>
          <w:highlight w:val="none"/>
        </w:rPr>
        <w:t>款规定的标准对投标文件进行初步评审。有一项不符合评审标准的，作废标处理。（适用于未进行资格预审的）</w:t>
      </w:r>
    </w:p>
    <w:p w14:paraId="021940A3">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3.1.1  </w:t>
      </w:r>
      <w:r>
        <w:rPr>
          <w:rFonts w:hint="eastAsia" w:ascii="宋体" w:hAnsi="宋体" w:cs="MingLiU"/>
          <w:kern w:val="0"/>
          <w:highlight w:val="none"/>
        </w:rPr>
        <w:t>评标委员会依据本章第</w:t>
      </w:r>
      <w:r>
        <w:rPr>
          <w:rFonts w:ascii="宋体" w:hAnsi="宋体"/>
          <w:kern w:val="0"/>
          <w:highlight w:val="none"/>
        </w:rPr>
        <w:t xml:space="preserve"> 2.1.1 </w:t>
      </w:r>
      <w:r>
        <w:rPr>
          <w:rFonts w:hint="eastAsia" w:ascii="宋体" w:hAnsi="宋体" w:cs="MingLiU"/>
          <w:kern w:val="0"/>
          <w:highlight w:val="none"/>
        </w:rPr>
        <w:t>项、第</w:t>
      </w:r>
      <w:r>
        <w:rPr>
          <w:rFonts w:ascii="宋体" w:hAnsi="宋体"/>
          <w:kern w:val="0"/>
          <w:highlight w:val="none"/>
        </w:rPr>
        <w:t xml:space="preserve"> 2.1.3 </w:t>
      </w:r>
      <w:r>
        <w:rPr>
          <w:rFonts w:hint="eastAsia" w:ascii="宋体" w:hAnsi="宋体" w:cs="MingLiU"/>
          <w:kern w:val="0"/>
          <w:highlight w:val="none"/>
        </w:rPr>
        <w:t>项规定的评审标准对投标文件进行初步</w:t>
      </w:r>
    </w:p>
    <w:p w14:paraId="5954D1E1">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position w:val="-2"/>
          <w:highlight w:val="none"/>
        </w:rPr>
        <w:t>评审。有一项不符合评审标准的，作废标处理。当投标人资格预审申请文件的内容发生重大</w:t>
      </w:r>
    </w:p>
    <w:p w14:paraId="27B7C3CD">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变化时，评标委员会依据本章第</w:t>
      </w:r>
      <w:r>
        <w:rPr>
          <w:rFonts w:ascii="宋体" w:hAnsi="宋体"/>
          <w:kern w:val="0"/>
          <w:highlight w:val="none"/>
        </w:rPr>
        <w:t xml:space="preserve"> 2.1.2 </w:t>
      </w:r>
      <w:r>
        <w:rPr>
          <w:rFonts w:hint="eastAsia" w:ascii="宋体" w:hAnsi="宋体" w:cs="MingLiU"/>
          <w:kern w:val="0"/>
          <w:highlight w:val="none"/>
        </w:rPr>
        <w:t>项规定的标准对其更新资料进行评审。（适用于已进行资格预审的）</w:t>
      </w:r>
    </w:p>
    <w:p w14:paraId="17242F6A">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3.1.2  </w:t>
      </w:r>
      <w:r>
        <w:rPr>
          <w:rFonts w:hint="eastAsia" w:ascii="宋体" w:hAnsi="宋体" w:cs="MingLiU"/>
          <w:kern w:val="0"/>
          <w:highlight w:val="none"/>
        </w:rPr>
        <w:t>投标人有以下情形之一的，其投标作废标处理：</w:t>
      </w:r>
    </w:p>
    <w:p w14:paraId="0FD5E85D">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1</w:t>
      </w:r>
      <w:r>
        <w:rPr>
          <w:rFonts w:hint="eastAsia" w:ascii="宋体" w:hAnsi="宋体" w:cs="MingLiU"/>
          <w:kern w:val="0"/>
          <w:highlight w:val="none"/>
        </w:rPr>
        <w:t>）第二章“投标人须知”第</w:t>
      </w:r>
      <w:r>
        <w:rPr>
          <w:rFonts w:ascii="宋体" w:hAnsi="宋体"/>
          <w:kern w:val="0"/>
          <w:highlight w:val="none"/>
        </w:rPr>
        <w:t xml:space="preserve"> 1.4.3 </w:t>
      </w:r>
      <w:r>
        <w:rPr>
          <w:rFonts w:hint="eastAsia" w:ascii="宋体" w:hAnsi="宋体" w:cs="MingLiU"/>
          <w:kern w:val="0"/>
          <w:highlight w:val="none"/>
        </w:rPr>
        <w:t>项规定的任何一种情形的；</w:t>
      </w:r>
    </w:p>
    <w:p w14:paraId="35C10734">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2</w:t>
      </w:r>
      <w:r>
        <w:rPr>
          <w:rFonts w:hint="eastAsia" w:ascii="宋体" w:hAnsi="宋体" w:cs="MingLiU"/>
          <w:kern w:val="0"/>
          <w:highlight w:val="none"/>
        </w:rPr>
        <w:t>）串通投标或弄虚作假或有其他违法行为的；</w:t>
      </w:r>
    </w:p>
    <w:p w14:paraId="6685A83C">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3</w:t>
      </w:r>
      <w:r>
        <w:rPr>
          <w:rFonts w:hint="eastAsia" w:ascii="宋体" w:hAnsi="宋体" w:cs="MingLiU"/>
          <w:kern w:val="0"/>
          <w:highlight w:val="none"/>
        </w:rPr>
        <w:t>）不按评标委员会要求澄清、说明或补正的。</w:t>
      </w:r>
    </w:p>
    <w:p w14:paraId="5AFB2318">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3.1.3  </w:t>
      </w:r>
      <w:r>
        <w:rPr>
          <w:rFonts w:hint="eastAsia" w:ascii="宋体" w:hAnsi="宋体" w:cs="MingLiU"/>
          <w:kern w:val="0"/>
          <w:highlight w:val="none"/>
        </w:rPr>
        <w:t>投标报价有算术错误的，评标委员会按以下原则对投标报价进行修正，修正的价格经投标人书面确认后具有约束力。投标人不接受修正价格的，其投标作废标处理。</w:t>
      </w:r>
    </w:p>
    <w:p w14:paraId="2B0B7AAE">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1</w:t>
      </w:r>
      <w:r>
        <w:rPr>
          <w:rFonts w:hint="eastAsia" w:ascii="宋体" w:hAnsi="宋体" w:cs="MingLiU"/>
          <w:kern w:val="0"/>
          <w:highlight w:val="none"/>
        </w:rPr>
        <w:t>）投标文件中的大写金额与小写金额不一致的，以大写金额为准；</w:t>
      </w:r>
    </w:p>
    <w:p w14:paraId="25F76BF3">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2</w:t>
      </w:r>
      <w:r>
        <w:rPr>
          <w:rFonts w:hint="eastAsia" w:ascii="宋体" w:hAnsi="宋体" w:cs="MingLiU"/>
          <w:kern w:val="0"/>
          <w:highlight w:val="none"/>
        </w:rPr>
        <w:t>）总价金额与依据单价计算出的结果不一致的，以单价金额为准修正总价，但单价金额小数点有明显错误的除外。</w:t>
      </w:r>
    </w:p>
    <w:p w14:paraId="2E66A8A7">
      <w:pPr>
        <w:autoSpaceDE w:val="0"/>
        <w:autoSpaceDN w:val="0"/>
        <w:adjustRightInd w:val="0"/>
        <w:snapToGrid w:val="0"/>
        <w:spacing w:line="360" w:lineRule="auto"/>
        <w:rPr>
          <w:rFonts w:hint="eastAsia" w:ascii="宋体" w:hAnsi="宋体" w:cs="MingLiU"/>
          <w:kern w:val="0"/>
          <w:highlight w:val="none"/>
        </w:rPr>
      </w:pPr>
      <w:r>
        <w:rPr>
          <w:rFonts w:ascii="宋体" w:hAnsi="宋体"/>
          <w:kern w:val="0"/>
          <w:position w:val="-2"/>
          <w:highlight w:val="none"/>
        </w:rPr>
        <w:t xml:space="preserve">3.2  </w:t>
      </w:r>
      <w:r>
        <w:rPr>
          <w:rFonts w:hint="eastAsia" w:ascii="宋体" w:hAnsi="宋体" w:cs="MingLiU"/>
          <w:kern w:val="0"/>
          <w:position w:val="-2"/>
          <w:highlight w:val="none"/>
        </w:rPr>
        <w:t>详细评审</w:t>
      </w:r>
    </w:p>
    <w:p w14:paraId="0330836A">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3.2.1  </w:t>
      </w:r>
      <w:r>
        <w:rPr>
          <w:rFonts w:hint="eastAsia" w:ascii="宋体" w:hAnsi="宋体" w:cs="MingLiU"/>
          <w:kern w:val="0"/>
          <w:highlight w:val="none"/>
        </w:rPr>
        <w:t>评标委员会按本章第</w:t>
      </w:r>
      <w:r>
        <w:rPr>
          <w:rFonts w:ascii="宋体" w:hAnsi="宋体"/>
          <w:kern w:val="0"/>
          <w:highlight w:val="none"/>
        </w:rPr>
        <w:t>2.2</w:t>
      </w:r>
      <w:r>
        <w:rPr>
          <w:rFonts w:hint="eastAsia" w:ascii="宋体" w:hAnsi="宋体" w:cs="MingLiU"/>
          <w:kern w:val="0"/>
          <w:highlight w:val="none"/>
        </w:rPr>
        <w:t>款规定的量化因素和分值进行打分，并计算出综合评估得分。</w:t>
      </w:r>
    </w:p>
    <w:p w14:paraId="56A82C13">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1</w:t>
      </w:r>
      <w:r>
        <w:rPr>
          <w:rFonts w:hint="eastAsia" w:ascii="宋体" w:hAnsi="宋体" w:cs="MingLiU"/>
          <w:kern w:val="0"/>
          <w:highlight w:val="none"/>
        </w:rPr>
        <w:t>）按本章第</w:t>
      </w:r>
      <w:r>
        <w:rPr>
          <w:rFonts w:ascii="宋体" w:hAnsi="宋体"/>
          <w:kern w:val="0"/>
          <w:highlight w:val="none"/>
        </w:rPr>
        <w:t xml:space="preserve"> 2.2.4</w:t>
      </w:r>
      <w:r>
        <w:rPr>
          <w:rFonts w:hint="eastAsia" w:ascii="宋体" w:hAnsi="宋体" w:cs="MingLiU"/>
          <w:kern w:val="0"/>
          <w:highlight w:val="none"/>
        </w:rPr>
        <w:t>（</w:t>
      </w:r>
      <w:r>
        <w:rPr>
          <w:rFonts w:ascii="宋体" w:hAnsi="宋体"/>
          <w:kern w:val="0"/>
          <w:highlight w:val="none"/>
        </w:rPr>
        <w:t>1</w:t>
      </w:r>
      <w:r>
        <w:rPr>
          <w:rFonts w:hint="eastAsia" w:ascii="宋体" w:hAnsi="宋体" w:cs="MingLiU"/>
          <w:kern w:val="0"/>
          <w:highlight w:val="none"/>
        </w:rPr>
        <w:t>）目规定的评审因素和分值对施工组织设计计算出得分</w:t>
      </w:r>
      <w:r>
        <w:rPr>
          <w:rFonts w:ascii="宋体" w:hAnsi="宋体"/>
          <w:kern w:val="0"/>
          <w:highlight w:val="none"/>
        </w:rPr>
        <w:t>A</w:t>
      </w:r>
      <w:r>
        <w:rPr>
          <w:rFonts w:hint="eastAsia" w:ascii="宋体" w:hAnsi="宋体" w:cs="MingLiU"/>
          <w:kern w:val="0"/>
          <w:highlight w:val="none"/>
        </w:rPr>
        <w:t>；</w:t>
      </w:r>
    </w:p>
    <w:p w14:paraId="058BD0FD">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2</w:t>
      </w:r>
      <w:r>
        <w:rPr>
          <w:rFonts w:hint="eastAsia" w:ascii="宋体" w:hAnsi="宋体" w:cs="MingLiU"/>
          <w:kern w:val="0"/>
          <w:highlight w:val="none"/>
        </w:rPr>
        <w:t>）按本章第</w:t>
      </w:r>
      <w:r>
        <w:rPr>
          <w:rFonts w:ascii="宋体" w:hAnsi="宋体"/>
          <w:kern w:val="0"/>
          <w:highlight w:val="none"/>
        </w:rPr>
        <w:t xml:space="preserve"> 2.2.4</w:t>
      </w:r>
      <w:r>
        <w:rPr>
          <w:rFonts w:hint="eastAsia" w:ascii="宋体" w:hAnsi="宋体" w:cs="MingLiU"/>
          <w:kern w:val="0"/>
          <w:highlight w:val="none"/>
        </w:rPr>
        <w:t>（</w:t>
      </w:r>
      <w:r>
        <w:rPr>
          <w:rFonts w:ascii="宋体" w:hAnsi="宋体"/>
          <w:kern w:val="0"/>
          <w:highlight w:val="none"/>
        </w:rPr>
        <w:t>2</w:t>
      </w:r>
      <w:r>
        <w:rPr>
          <w:rFonts w:hint="eastAsia" w:ascii="宋体" w:hAnsi="宋体" w:cs="MingLiU"/>
          <w:kern w:val="0"/>
          <w:highlight w:val="none"/>
        </w:rPr>
        <w:t>）目规定的评审因素和分值对项目管理机构计算出得分</w:t>
      </w:r>
      <w:r>
        <w:rPr>
          <w:rFonts w:ascii="宋体" w:hAnsi="宋体"/>
          <w:kern w:val="0"/>
          <w:highlight w:val="none"/>
        </w:rPr>
        <w:t>B</w:t>
      </w:r>
      <w:r>
        <w:rPr>
          <w:rFonts w:hint="eastAsia" w:ascii="宋体" w:hAnsi="宋体" w:cs="MingLiU"/>
          <w:kern w:val="0"/>
          <w:highlight w:val="none"/>
        </w:rPr>
        <w:t>；</w:t>
      </w:r>
    </w:p>
    <w:p w14:paraId="5F18C574">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3</w:t>
      </w:r>
      <w:r>
        <w:rPr>
          <w:rFonts w:hint="eastAsia" w:ascii="宋体" w:hAnsi="宋体" w:cs="MingLiU"/>
          <w:kern w:val="0"/>
          <w:highlight w:val="none"/>
        </w:rPr>
        <w:t>）按本章第</w:t>
      </w:r>
      <w:r>
        <w:rPr>
          <w:rFonts w:ascii="宋体" w:hAnsi="宋体"/>
          <w:kern w:val="0"/>
          <w:highlight w:val="none"/>
        </w:rPr>
        <w:t xml:space="preserve"> 2.2.4</w:t>
      </w:r>
      <w:r>
        <w:rPr>
          <w:rFonts w:hint="eastAsia" w:ascii="宋体" w:hAnsi="宋体" w:cs="MingLiU"/>
          <w:kern w:val="0"/>
          <w:highlight w:val="none"/>
        </w:rPr>
        <w:t>（</w:t>
      </w:r>
      <w:r>
        <w:rPr>
          <w:rFonts w:ascii="宋体" w:hAnsi="宋体"/>
          <w:kern w:val="0"/>
          <w:highlight w:val="none"/>
        </w:rPr>
        <w:t>3</w:t>
      </w:r>
      <w:r>
        <w:rPr>
          <w:rFonts w:hint="eastAsia" w:ascii="宋体" w:hAnsi="宋体" w:cs="MingLiU"/>
          <w:kern w:val="0"/>
          <w:highlight w:val="none"/>
        </w:rPr>
        <w:t>）目规定的评审因素和分值对投标报价计算出得分</w:t>
      </w:r>
      <w:r>
        <w:rPr>
          <w:rFonts w:ascii="宋体" w:hAnsi="宋体"/>
          <w:kern w:val="0"/>
          <w:highlight w:val="none"/>
        </w:rPr>
        <w:t>C</w:t>
      </w:r>
      <w:r>
        <w:rPr>
          <w:rFonts w:hint="eastAsia" w:ascii="宋体" w:hAnsi="宋体" w:cs="MingLiU"/>
          <w:kern w:val="0"/>
          <w:highlight w:val="none"/>
        </w:rPr>
        <w:t>；</w:t>
      </w:r>
    </w:p>
    <w:p w14:paraId="146DA235">
      <w:pPr>
        <w:autoSpaceDE w:val="0"/>
        <w:autoSpaceDN w:val="0"/>
        <w:adjustRightInd w:val="0"/>
        <w:snapToGrid w:val="0"/>
        <w:spacing w:line="360" w:lineRule="auto"/>
        <w:rPr>
          <w:rFonts w:hint="eastAsia" w:ascii="宋体" w:hAnsi="宋体" w:cs="MingLiU"/>
          <w:kern w:val="0"/>
          <w:highlight w:val="none"/>
        </w:rPr>
      </w:pPr>
      <w:r>
        <w:rPr>
          <w:rFonts w:hint="eastAsia" w:ascii="宋体" w:hAnsi="宋体" w:cs="MingLiU"/>
          <w:kern w:val="0"/>
          <w:highlight w:val="none"/>
        </w:rPr>
        <w:t>（</w:t>
      </w:r>
      <w:r>
        <w:rPr>
          <w:rFonts w:ascii="宋体" w:hAnsi="宋体"/>
          <w:kern w:val="0"/>
          <w:highlight w:val="none"/>
        </w:rPr>
        <w:t>4</w:t>
      </w:r>
      <w:r>
        <w:rPr>
          <w:rFonts w:hint="eastAsia" w:ascii="宋体" w:hAnsi="宋体" w:cs="MingLiU"/>
          <w:kern w:val="0"/>
          <w:highlight w:val="none"/>
        </w:rPr>
        <w:t>）按本章第</w:t>
      </w:r>
      <w:r>
        <w:rPr>
          <w:rFonts w:ascii="宋体" w:hAnsi="宋体"/>
          <w:kern w:val="0"/>
          <w:highlight w:val="none"/>
        </w:rPr>
        <w:t xml:space="preserve"> 2.2.4</w:t>
      </w:r>
      <w:r>
        <w:rPr>
          <w:rFonts w:hint="eastAsia" w:ascii="宋体" w:hAnsi="宋体" w:cs="MingLiU"/>
          <w:kern w:val="0"/>
          <w:highlight w:val="none"/>
        </w:rPr>
        <w:t>（</w:t>
      </w:r>
      <w:r>
        <w:rPr>
          <w:rFonts w:ascii="宋体" w:hAnsi="宋体"/>
          <w:kern w:val="0"/>
          <w:highlight w:val="none"/>
        </w:rPr>
        <w:t>4</w:t>
      </w:r>
      <w:r>
        <w:rPr>
          <w:rFonts w:hint="eastAsia" w:ascii="宋体" w:hAnsi="宋体" w:cs="MingLiU"/>
          <w:kern w:val="0"/>
          <w:highlight w:val="none"/>
        </w:rPr>
        <w:t>）目规定的评审因素和分值对其他部分计算出得分</w:t>
      </w:r>
      <w:r>
        <w:rPr>
          <w:rFonts w:ascii="宋体" w:hAnsi="宋体"/>
          <w:kern w:val="0"/>
          <w:highlight w:val="none"/>
        </w:rPr>
        <w:t>D</w:t>
      </w:r>
      <w:r>
        <w:rPr>
          <w:rFonts w:hint="eastAsia" w:ascii="宋体" w:hAnsi="宋体" w:cs="MingLiU"/>
          <w:kern w:val="0"/>
          <w:highlight w:val="none"/>
        </w:rPr>
        <w:t>。</w:t>
      </w:r>
    </w:p>
    <w:p w14:paraId="58A220B2">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3.2.2  </w:t>
      </w:r>
      <w:r>
        <w:rPr>
          <w:rFonts w:hint="eastAsia" w:ascii="宋体" w:hAnsi="宋体" w:cs="MingLiU"/>
          <w:kern w:val="0"/>
          <w:highlight w:val="none"/>
        </w:rPr>
        <w:t>评分分值计算保留小数点后两位，小数点后第三位“四舍五入”。</w:t>
      </w:r>
    </w:p>
    <w:p w14:paraId="59033108">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3.2.3  </w:t>
      </w:r>
      <w:r>
        <w:rPr>
          <w:rFonts w:hint="eastAsia" w:ascii="宋体" w:hAnsi="宋体" w:cs="MingLiU"/>
          <w:kern w:val="0"/>
          <w:highlight w:val="none"/>
        </w:rPr>
        <w:t>投标人得分</w:t>
      </w:r>
      <w:r>
        <w:rPr>
          <w:rFonts w:ascii="宋体" w:hAnsi="宋体"/>
          <w:kern w:val="0"/>
          <w:highlight w:val="none"/>
        </w:rPr>
        <w:t>=A+B+C+D</w:t>
      </w:r>
      <w:r>
        <w:rPr>
          <w:rFonts w:hint="eastAsia" w:ascii="宋体" w:hAnsi="宋体" w:cs="MingLiU"/>
          <w:kern w:val="0"/>
          <w:highlight w:val="none"/>
        </w:rPr>
        <w:t>。</w:t>
      </w:r>
    </w:p>
    <w:p w14:paraId="41D37D3F">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3.2.4  </w:t>
      </w:r>
      <w:r>
        <w:rPr>
          <w:rFonts w:hint="eastAsia" w:ascii="宋体" w:hAnsi="宋体" w:cs="MingLiU"/>
          <w:kern w:val="0"/>
          <w:highlight w:val="none"/>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2AACA05B">
      <w:pPr>
        <w:autoSpaceDE w:val="0"/>
        <w:autoSpaceDN w:val="0"/>
        <w:adjustRightInd w:val="0"/>
        <w:snapToGrid w:val="0"/>
        <w:spacing w:line="360" w:lineRule="auto"/>
        <w:rPr>
          <w:rFonts w:hint="eastAsia" w:ascii="宋体" w:hAnsi="宋体" w:cs="MingLiU"/>
          <w:kern w:val="0"/>
          <w:highlight w:val="none"/>
        </w:rPr>
      </w:pPr>
      <w:r>
        <w:rPr>
          <w:rFonts w:ascii="宋体" w:hAnsi="宋体"/>
          <w:kern w:val="0"/>
          <w:position w:val="-2"/>
          <w:highlight w:val="none"/>
        </w:rPr>
        <w:t xml:space="preserve">3.3  </w:t>
      </w:r>
      <w:r>
        <w:rPr>
          <w:rFonts w:hint="eastAsia" w:ascii="宋体" w:hAnsi="宋体" w:cs="MingLiU"/>
          <w:kern w:val="0"/>
          <w:position w:val="-2"/>
          <w:highlight w:val="none"/>
        </w:rPr>
        <w:t>投标文件的澄清和补正</w:t>
      </w:r>
    </w:p>
    <w:p w14:paraId="5263DB5F">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3.3.1  </w:t>
      </w:r>
      <w:r>
        <w:rPr>
          <w:rFonts w:hint="eastAsia" w:ascii="宋体" w:hAnsi="宋体" w:cs="MingLiU"/>
          <w:kern w:val="0"/>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0EDFA542">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3.3.2  </w:t>
      </w:r>
      <w:r>
        <w:rPr>
          <w:rFonts w:hint="eastAsia" w:ascii="宋体" w:hAnsi="宋体" w:cs="MingLiU"/>
          <w:kern w:val="0"/>
          <w:highlight w:val="none"/>
        </w:rPr>
        <w:t>澄清、说明和补正不得改变投标文件的实质性内容（算术性错误修正的除外）。投标人的书面澄清、说明和补正属于投标文件的组成部分。</w:t>
      </w:r>
    </w:p>
    <w:p w14:paraId="200083CA">
      <w:pPr>
        <w:autoSpaceDE w:val="0"/>
        <w:autoSpaceDN w:val="0"/>
        <w:adjustRightInd w:val="0"/>
        <w:snapToGrid w:val="0"/>
        <w:spacing w:line="360" w:lineRule="auto"/>
        <w:rPr>
          <w:rFonts w:hint="eastAsia" w:ascii="宋体" w:hAnsi="宋体"/>
          <w:kern w:val="0"/>
          <w:position w:val="-2"/>
          <w:highlight w:val="none"/>
        </w:rPr>
      </w:pPr>
      <w:r>
        <w:rPr>
          <w:rFonts w:ascii="宋体" w:hAnsi="宋体"/>
          <w:kern w:val="0"/>
          <w:highlight w:val="none"/>
        </w:rPr>
        <w:t xml:space="preserve">3.3.3  </w:t>
      </w:r>
      <w:r>
        <w:rPr>
          <w:rFonts w:hint="eastAsia" w:ascii="宋体" w:hAnsi="宋体" w:cs="MingLiU"/>
          <w:kern w:val="0"/>
          <w:highlight w:val="none"/>
        </w:rPr>
        <w:t>评标委员会对投标人提交的澄清、说明或补正有疑问的，可以要求投标人进一步澄清、说明或补正，直至满足评标委员会的要求。</w:t>
      </w:r>
    </w:p>
    <w:p w14:paraId="2DA1E1C5">
      <w:pPr>
        <w:autoSpaceDE w:val="0"/>
        <w:autoSpaceDN w:val="0"/>
        <w:adjustRightInd w:val="0"/>
        <w:snapToGrid w:val="0"/>
        <w:spacing w:line="360" w:lineRule="auto"/>
        <w:rPr>
          <w:rFonts w:hint="eastAsia" w:ascii="宋体" w:hAnsi="宋体" w:cs="MingLiU"/>
          <w:kern w:val="0"/>
          <w:highlight w:val="none"/>
        </w:rPr>
      </w:pPr>
      <w:r>
        <w:rPr>
          <w:rFonts w:ascii="宋体" w:hAnsi="宋体"/>
          <w:kern w:val="0"/>
          <w:position w:val="-2"/>
          <w:highlight w:val="none"/>
        </w:rPr>
        <w:t xml:space="preserve">3.4  </w:t>
      </w:r>
      <w:r>
        <w:rPr>
          <w:rFonts w:hint="eastAsia" w:ascii="宋体" w:hAnsi="宋体" w:cs="MingLiU"/>
          <w:kern w:val="0"/>
          <w:position w:val="-2"/>
          <w:highlight w:val="none"/>
        </w:rPr>
        <w:t>评标结果</w:t>
      </w:r>
    </w:p>
    <w:p w14:paraId="2BFFD56D">
      <w:pPr>
        <w:autoSpaceDE w:val="0"/>
        <w:autoSpaceDN w:val="0"/>
        <w:adjustRightInd w:val="0"/>
        <w:snapToGrid w:val="0"/>
        <w:spacing w:line="360" w:lineRule="auto"/>
        <w:rPr>
          <w:rFonts w:hint="eastAsia" w:ascii="宋体" w:hAnsi="宋体" w:cs="MingLiU"/>
          <w:kern w:val="0"/>
          <w:highlight w:val="none"/>
        </w:rPr>
      </w:pPr>
      <w:r>
        <w:rPr>
          <w:rFonts w:ascii="宋体" w:hAnsi="宋体"/>
          <w:kern w:val="0"/>
          <w:highlight w:val="none"/>
        </w:rPr>
        <w:t xml:space="preserve">3.4.1  </w:t>
      </w:r>
      <w:r>
        <w:rPr>
          <w:rFonts w:hint="eastAsia" w:ascii="宋体" w:hAnsi="宋体" w:cs="MingLiU"/>
          <w:kern w:val="0"/>
          <w:highlight w:val="none"/>
        </w:rPr>
        <w:t>除第二章“投标人须知”前附表授权直接确定中标人外，评标委员会按照得分由高到低的顺序推荐中标候选人。</w:t>
      </w:r>
    </w:p>
    <w:p w14:paraId="78E2C616">
      <w:pPr>
        <w:widowControl/>
        <w:adjustRightInd w:val="0"/>
        <w:snapToGrid w:val="0"/>
        <w:spacing w:line="360" w:lineRule="auto"/>
        <w:rPr>
          <w:rFonts w:eastAsia="黑体" w:cs="黑体"/>
          <w:kern w:val="44"/>
          <w:sz w:val="52"/>
          <w:szCs w:val="52"/>
          <w:highlight w:val="none"/>
        </w:rPr>
      </w:pPr>
      <w:r>
        <w:rPr>
          <w:rFonts w:ascii="宋体" w:hAnsi="宋体"/>
          <w:kern w:val="0"/>
          <w:highlight w:val="none"/>
        </w:rPr>
        <w:t xml:space="preserve">3.4.2  </w:t>
      </w:r>
      <w:r>
        <w:rPr>
          <w:rFonts w:hint="eastAsia" w:ascii="宋体" w:hAnsi="宋体" w:cs="MingLiU"/>
          <w:kern w:val="0"/>
          <w:highlight w:val="none"/>
        </w:rPr>
        <w:t>评标委员会完成评标后，应当向招标人提交书面评标报告。</w:t>
      </w:r>
      <w:bookmarkEnd w:id="56"/>
      <w:bookmarkEnd w:id="65"/>
      <w:r>
        <w:rPr>
          <w:rFonts w:eastAsia="黑体" w:cs="黑体"/>
          <w:b/>
          <w:bCs/>
          <w:sz w:val="52"/>
          <w:szCs w:val="52"/>
          <w:highlight w:val="none"/>
        </w:rPr>
        <w:br w:type="page"/>
      </w:r>
    </w:p>
    <w:p w14:paraId="4AF3A877">
      <w:pPr>
        <w:pStyle w:val="2"/>
        <w:spacing w:before="0" w:after="0" w:line="240" w:lineRule="auto"/>
        <w:jc w:val="center"/>
        <w:rPr>
          <w:rFonts w:eastAsia="黑体" w:cs="黑体"/>
          <w:b w:val="0"/>
          <w:bCs w:val="0"/>
          <w:sz w:val="52"/>
          <w:szCs w:val="52"/>
          <w:highlight w:val="none"/>
        </w:rPr>
      </w:pPr>
    </w:p>
    <w:p w14:paraId="5466928A">
      <w:pPr>
        <w:pStyle w:val="2"/>
        <w:spacing w:before="0" w:after="0" w:line="240" w:lineRule="auto"/>
        <w:jc w:val="center"/>
        <w:rPr>
          <w:rFonts w:eastAsia="黑体" w:cs="黑体"/>
          <w:b w:val="0"/>
          <w:bCs w:val="0"/>
          <w:sz w:val="52"/>
          <w:szCs w:val="52"/>
          <w:highlight w:val="none"/>
        </w:rPr>
      </w:pPr>
    </w:p>
    <w:p w14:paraId="4DD0E2F9">
      <w:pPr>
        <w:pStyle w:val="2"/>
        <w:spacing w:before="0" w:after="0" w:line="240" w:lineRule="auto"/>
        <w:jc w:val="center"/>
        <w:rPr>
          <w:rFonts w:eastAsia="黑体" w:cs="黑体"/>
          <w:b w:val="0"/>
          <w:bCs w:val="0"/>
          <w:sz w:val="52"/>
          <w:szCs w:val="52"/>
          <w:highlight w:val="none"/>
        </w:rPr>
      </w:pPr>
    </w:p>
    <w:p w14:paraId="1ABD7827">
      <w:pPr>
        <w:pStyle w:val="2"/>
        <w:spacing w:before="0" w:after="0" w:line="240" w:lineRule="auto"/>
        <w:jc w:val="center"/>
        <w:rPr>
          <w:rFonts w:eastAsia="黑体" w:cs="黑体"/>
          <w:b w:val="0"/>
          <w:bCs w:val="0"/>
          <w:sz w:val="52"/>
          <w:szCs w:val="52"/>
          <w:highlight w:val="none"/>
        </w:rPr>
      </w:pPr>
    </w:p>
    <w:p w14:paraId="31DEE371">
      <w:pPr>
        <w:pStyle w:val="2"/>
        <w:spacing w:before="0" w:after="0" w:line="240" w:lineRule="auto"/>
        <w:jc w:val="center"/>
        <w:rPr>
          <w:rFonts w:eastAsia="黑体" w:cs="黑体"/>
          <w:b w:val="0"/>
          <w:bCs w:val="0"/>
          <w:sz w:val="52"/>
          <w:szCs w:val="52"/>
          <w:highlight w:val="none"/>
        </w:rPr>
      </w:pPr>
    </w:p>
    <w:p w14:paraId="45F90763">
      <w:pPr>
        <w:pStyle w:val="2"/>
        <w:spacing w:before="0" w:after="0" w:line="240" w:lineRule="auto"/>
        <w:jc w:val="center"/>
        <w:rPr>
          <w:rFonts w:eastAsia="黑体" w:cs="黑体"/>
          <w:b w:val="0"/>
          <w:bCs w:val="0"/>
          <w:sz w:val="52"/>
          <w:szCs w:val="52"/>
          <w:highlight w:val="none"/>
        </w:rPr>
      </w:pPr>
    </w:p>
    <w:p w14:paraId="39BAAE06">
      <w:pPr>
        <w:pStyle w:val="2"/>
        <w:spacing w:before="0" w:after="0" w:line="240" w:lineRule="auto"/>
        <w:jc w:val="center"/>
        <w:rPr>
          <w:rFonts w:eastAsia="黑体" w:cs="黑体"/>
          <w:b w:val="0"/>
          <w:bCs w:val="0"/>
          <w:sz w:val="52"/>
          <w:szCs w:val="52"/>
          <w:highlight w:val="none"/>
        </w:rPr>
      </w:pPr>
    </w:p>
    <w:p w14:paraId="2BAC29F3">
      <w:pPr>
        <w:pStyle w:val="2"/>
        <w:spacing w:before="0" w:after="0" w:line="240" w:lineRule="auto"/>
        <w:jc w:val="center"/>
        <w:rPr>
          <w:rFonts w:eastAsia="黑体" w:cs="黑体"/>
          <w:b w:val="0"/>
          <w:bCs w:val="0"/>
          <w:sz w:val="52"/>
          <w:szCs w:val="52"/>
          <w:highlight w:val="none"/>
        </w:rPr>
      </w:pPr>
    </w:p>
    <w:p w14:paraId="7A8E98D8">
      <w:pPr>
        <w:pStyle w:val="2"/>
        <w:spacing w:before="0" w:after="0" w:line="240" w:lineRule="auto"/>
        <w:jc w:val="center"/>
        <w:rPr>
          <w:rFonts w:eastAsia="黑体" w:cs="黑体"/>
          <w:b w:val="0"/>
          <w:bCs w:val="0"/>
          <w:sz w:val="52"/>
          <w:szCs w:val="52"/>
          <w:highlight w:val="none"/>
        </w:rPr>
      </w:pPr>
    </w:p>
    <w:p w14:paraId="0BD85D90">
      <w:pPr>
        <w:pStyle w:val="2"/>
        <w:spacing w:before="0" w:after="0" w:line="240" w:lineRule="auto"/>
        <w:jc w:val="center"/>
        <w:rPr>
          <w:rFonts w:eastAsia="黑体"/>
          <w:b w:val="0"/>
          <w:bCs w:val="0"/>
          <w:sz w:val="52"/>
          <w:szCs w:val="52"/>
          <w:highlight w:val="none"/>
        </w:rPr>
      </w:pPr>
      <w:r>
        <w:rPr>
          <w:rFonts w:hint="eastAsia" w:eastAsia="黑体" w:cs="黑体"/>
          <w:b w:val="0"/>
          <w:bCs w:val="0"/>
          <w:sz w:val="52"/>
          <w:szCs w:val="52"/>
          <w:highlight w:val="none"/>
        </w:rPr>
        <w:t>第四章合同条款及格式</w:t>
      </w:r>
      <w:bookmarkEnd w:id="57"/>
      <w:bookmarkEnd w:id="58"/>
      <w:bookmarkEnd w:id="59"/>
      <w:bookmarkEnd w:id="60"/>
      <w:bookmarkEnd w:id="61"/>
    </w:p>
    <w:p w14:paraId="5ACFF047">
      <w:pPr>
        <w:spacing w:line="360" w:lineRule="auto"/>
        <w:ind w:right="-6"/>
        <w:jc w:val="center"/>
        <w:rPr>
          <w:rFonts w:eastAsia="黑体"/>
          <w:b/>
          <w:sz w:val="48"/>
          <w:highlight w:val="none"/>
        </w:rPr>
      </w:pPr>
      <w:r>
        <w:rPr>
          <w:highlight w:val="none"/>
        </w:rPr>
        <w:br w:type="page"/>
      </w:r>
      <w:bookmarkStart w:id="66" w:name="_Toc149446980"/>
      <w:bookmarkStart w:id="67" w:name="_Toc149386237"/>
      <w:bookmarkStart w:id="68" w:name="_Toc149446202"/>
      <w:bookmarkStart w:id="69" w:name="_Toc366702586"/>
      <w:bookmarkStart w:id="70" w:name="_Hlk41390817"/>
      <w:bookmarkStart w:id="71" w:name="_Toc371514256"/>
      <w:bookmarkStart w:id="72" w:name="_Toc366767208"/>
      <w:bookmarkStart w:id="73" w:name="_Toc465240560"/>
      <w:bookmarkStart w:id="74" w:name="_Toc173056119"/>
      <w:bookmarkStart w:id="75" w:name="_Toc133072917"/>
      <w:bookmarkStart w:id="76" w:name="_Toc149387781"/>
      <w:bookmarkStart w:id="77" w:name="_Toc149630537"/>
      <w:bookmarkStart w:id="78" w:name="_Toc40737063"/>
      <w:bookmarkStart w:id="79" w:name="_Toc149385927"/>
      <w:bookmarkStart w:id="80" w:name="_Toc41409064"/>
      <w:bookmarkStart w:id="81" w:name="_Toc148405166"/>
      <w:bookmarkStart w:id="82" w:name="_Toc149446655"/>
      <w:bookmarkStart w:id="83" w:name="_Toc360460381"/>
      <w:bookmarkStart w:id="84" w:name="_Toc468769275"/>
      <w:bookmarkStart w:id="85" w:name="_Toc149386692"/>
      <w:bookmarkStart w:id="86" w:name="_Toc244331889"/>
      <w:bookmarkStart w:id="87" w:name="_Toc196547041"/>
      <w:bookmarkStart w:id="88" w:name="_Toc468397250"/>
      <w:bookmarkStart w:id="89" w:name="_Toc410630958"/>
      <w:r>
        <w:rPr>
          <w:rFonts w:eastAsia="黑体"/>
          <w:b/>
          <w:sz w:val="48"/>
          <w:highlight w:val="none"/>
        </w:rPr>
        <w:t>第一节合同条款及格式</w:t>
      </w:r>
    </w:p>
    <w:p w14:paraId="6F366F3B">
      <w:pPr>
        <w:spacing w:line="264" w:lineRule="auto"/>
        <w:ind w:firstLine="360" w:firstLineChars="150"/>
        <w:rPr>
          <w:rFonts w:eastAsia="黑体"/>
          <w:bCs/>
          <w:sz w:val="24"/>
          <w:highlight w:val="none"/>
        </w:rPr>
      </w:pPr>
    </w:p>
    <w:p w14:paraId="789407B2">
      <w:pPr>
        <w:spacing w:line="264" w:lineRule="auto"/>
        <w:ind w:firstLine="360" w:firstLineChars="150"/>
        <w:rPr>
          <w:rFonts w:eastAsia="黑体"/>
          <w:bCs/>
          <w:sz w:val="24"/>
          <w:highlight w:val="none"/>
        </w:rPr>
      </w:pPr>
      <w:r>
        <w:rPr>
          <w:rFonts w:eastAsia="黑体"/>
          <w:bCs/>
          <w:sz w:val="24"/>
          <w:highlight w:val="none"/>
        </w:rPr>
        <w:t>第一节通用合同条款，</w:t>
      </w:r>
      <w:r>
        <w:rPr>
          <w:rFonts w:eastAsia="仿宋_GB2312"/>
          <w:bCs/>
          <w:highlight w:val="none"/>
        </w:rPr>
        <w:t>详见</w:t>
      </w:r>
      <w:r>
        <w:rPr>
          <w:rFonts w:eastAsia="仿宋_GB2312"/>
          <w:highlight w:val="none"/>
        </w:rPr>
        <w:t>《标准施工招标文件》（2007年版）</w:t>
      </w:r>
    </w:p>
    <w:p w14:paraId="5C6034AB">
      <w:pPr>
        <w:spacing w:line="264" w:lineRule="auto"/>
        <w:ind w:firstLine="360" w:firstLineChars="150"/>
        <w:rPr>
          <w:rFonts w:eastAsia="黑体"/>
          <w:bCs/>
          <w:sz w:val="24"/>
          <w:highlight w:val="none"/>
        </w:rPr>
      </w:pPr>
      <w:r>
        <w:rPr>
          <w:rFonts w:eastAsia="黑体"/>
          <w:bCs/>
          <w:sz w:val="24"/>
          <w:highlight w:val="none"/>
        </w:rPr>
        <w:t>第二节专用合同条款，</w:t>
      </w:r>
    </w:p>
    <w:p w14:paraId="1518D672">
      <w:pPr>
        <w:spacing w:line="264" w:lineRule="auto"/>
        <w:ind w:firstLine="360" w:firstLineChars="150"/>
        <w:rPr>
          <w:rFonts w:eastAsia="黑体"/>
          <w:bCs/>
          <w:sz w:val="24"/>
          <w:highlight w:val="none"/>
        </w:rPr>
      </w:pPr>
      <w:r>
        <w:rPr>
          <w:rFonts w:eastAsia="黑体"/>
          <w:bCs/>
          <w:sz w:val="24"/>
          <w:highlight w:val="none"/>
        </w:rPr>
        <w:t>A.专用合同条款,</w:t>
      </w:r>
      <w:r>
        <w:rPr>
          <w:rFonts w:eastAsia="仿宋_GB2312"/>
          <w:bCs/>
          <w:highlight w:val="none"/>
        </w:rPr>
        <w:t>详见</w:t>
      </w:r>
      <w:r>
        <w:rPr>
          <w:rFonts w:eastAsia="仿宋_GB2312"/>
          <w:kern w:val="0"/>
          <w:highlight w:val="none"/>
        </w:rPr>
        <w:t>《水</w:t>
      </w:r>
      <w:r>
        <w:rPr>
          <w:rFonts w:eastAsia="仿宋_GB2312"/>
          <w:highlight w:val="none"/>
        </w:rPr>
        <w:t>运工程标准施工招标文件》（JTS 110-8-2008）</w:t>
      </w:r>
    </w:p>
    <w:p w14:paraId="5973116F">
      <w:pPr>
        <w:spacing w:line="264" w:lineRule="auto"/>
        <w:ind w:firstLine="360" w:firstLineChars="150"/>
        <w:rPr>
          <w:rFonts w:eastAsia="黑体"/>
          <w:bCs/>
          <w:sz w:val="24"/>
          <w:highlight w:val="none"/>
        </w:rPr>
      </w:pPr>
      <w:r>
        <w:rPr>
          <w:rFonts w:eastAsia="黑体"/>
          <w:bCs/>
          <w:sz w:val="24"/>
          <w:highlight w:val="none"/>
        </w:rPr>
        <w:t>B.项目专用合同条款，见本章节</w:t>
      </w:r>
    </w:p>
    <w:p w14:paraId="51B98A10">
      <w:pPr>
        <w:spacing w:line="264" w:lineRule="auto"/>
        <w:ind w:firstLine="315" w:firstLineChars="150"/>
        <w:rPr>
          <w:rFonts w:eastAsia="仿宋_GB2312"/>
          <w:bCs/>
          <w:highlight w:val="none"/>
        </w:rPr>
      </w:pPr>
      <w:r>
        <w:rPr>
          <w:rFonts w:eastAsia="仿宋_GB2312"/>
          <w:bCs/>
          <w:highlight w:val="none"/>
        </w:rPr>
        <w:t>说明：本项目专用合同条款是适用于本项目的信息和数据的归纳与提示和补充，条款内容不一致时，以本项目专用合同条款为准。</w:t>
      </w:r>
    </w:p>
    <w:p w14:paraId="72FCA333">
      <w:pPr>
        <w:spacing w:line="264" w:lineRule="auto"/>
        <w:ind w:firstLine="360" w:firstLineChars="150"/>
        <w:rPr>
          <w:rFonts w:ascii="楷体" w:hAnsi="楷体" w:eastAsia="楷体"/>
          <w:sz w:val="28"/>
          <w:szCs w:val="28"/>
          <w:highlight w:val="none"/>
        </w:rPr>
      </w:pPr>
      <w:r>
        <w:rPr>
          <w:rFonts w:eastAsia="黑体"/>
          <w:bCs/>
          <w:sz w:val="24"/>
          <w:highlight w:val="none"/>
        </w:rPr>
        <w:t>第三节合同附件格式，</w:t>
      </w:r>
      <w:r>
        <w:rPr>
          <w:rFonts w:eastAsia="仿宋_GB2312"/>
          <w:bCs/>
          <w:highlight w:val="none"/>
        </w:rPr>
        <w:t>详见</w:t>
      </w:r>
      <w:r>
        <w:rPr>
          <w:rFonts w:eastAsia="仿宋_GB2312"/>
          <w:highlight w:val="none"/>
        </w:rPr>
        <w:t>《标准施工招标文件》（2007年版）和</w:t>
      </w:r>
      <w:r>
        <w:rPr>
          <w:rFonts w:eastAsia="仿宋_GB2312"/>
          <w:kern w:val="0"/>
          <w:highlight w:val="none"/>
        </w:rPr>
        <w:t>《水</w:t>
      </w:r>
      <w:r>
        <w:rPr>
          <w:rFonts w:eastAsia="仿宋_GB2312"/>
          <w:highlight w:val="none"/>
        </w:rPr>
        <w:t>运工程标准施工招标文件》（JTS 110-8-2008）</w:t>
      </w:r>
    </w:p>
    <w:p w14:paraId="1B127DF7">
      <w:pPr>
        <w:adjustRightInd w:val="0"/>
        <w:snapToGrid w:val="0"/>
        <w:spacing w:before="4800" w:beforeLines="2000"/>
        <w:jc w:val="center"/>
        <w:outlineLvl w:val="0"/>
        <w:rPr>
          <w:rFonts w:ascii="楷体" w:hAnsi="楷体" w:eastAsia="楷体"/>
          <w:sz w:val="56"/>
          <w:szCs w:val="56"/>
          <w:highlight w:val="none"/>
        </w:rPr>
        <w:sectPr>
          <w:footerReference r:id="rId6" w:type="default"/>
          <w:type w:val="continuous"/>
          <w:pgSz w:w="11905" w:h="16838"/>
          <w:pgMar w:top="1474" w:right="1361" w:bottom="1474" w:left="1361" w:header="850" w:footer="992" w:gutter="0"/>
          <w:pgNumType w:fmt="decimal"/>
          <w:cols w:space="0" w:num="1"/>
          <w:docGrid w:linePitch="286" w:charSpace="0"/>
        </w:sectPr>
      </w:pPr>
      <w:r>
        <w:rPr>
          <w:rFonts w:ascii="宋体" w:hAnsi="宋体"/>
          <w:highlight w:val="none"/>
        </w:rPr>
        <w:br w:type="page"/>
      </w:r>
      <w:r>
        <w:rPr>
          <w:rFonts w:hint="eastAsia" w:ascii="楷体" w:hAnsi="楷体" w:eastAsia="楷体"/>
          <w:sz w:val="56"/>
          <w:szCs w:val="56"/>
          <w:highlight w:val="none"/>
        </w:rPr>
        <w:t>第二节 专用合同条款</w:t>
      </w:r>
    </w:p>
    <w:p w14:paraId="4BB2F867">
      <w:pPr>
        <w:autoSpaceDE/>
        <w:autoSpaceDN/>
        <w:adjustRightInd/>
        <w:snapToGrid/>
        <w:jc w:val="left"/>
        <w:rPr>
          <w:rFonts w:hint="eastAsia" w:ascii="宋体" w:hAnsi="宋体"/>
          <w:b/>
          <w:bCs/>
          <w:color w:val="000000"/>
          <w:kern w:val="0"/>
          <w:sz w:val="30"/>
          <w:highlight w:val="none"/>
        </w:rPr>
      </w:pPr>
      <w:r>
        <w:rPr>
          <w:rFonts w:hint="eastAsia" w:ascii="宋体" w:hAnsi="宋体"/>
          <w:b/>
          <w:bCs/>
          <w:color w:val="000000"/>
          <w:kern w:val="0"/>
          <w:sz w:val="30"/>
          <w:highlight w:val="none"/>
        </w:rPr>
        <w:br w:type="page"/>
      </w:r>
    </w:p>
    <w:p w14:paraId="12639E85">
      <w:pPr>
        <w:autoSpaceDE w:val="0"/>
        <w:autoSpaceDN w:val="0"/>
        <w:adjustRightInd w:val="0"/>
        <w:snapToGrid w:val="0"/>
        <w:jc w:val="center"/>
        <w:rPr>
          <w:rFonts w:ascii="宋体" w:hAnsi="宋体"/>
          <w:b/>
          <w:bCs/>
          <w:color w:val="000000"/>
          <w:kern w:val="0"/>
          <w:sz w:val="30"/>
          <w:highlight w:val="none"/>
        </w:rPr>
      </w:pPr>
      <w:r>
        <w:rPr>
          <w:rFonts w:hint="eastAsia" w:ascii="宋体" w:hAnsi="宋体"/>
          <w:b/>
          <w:bCs/>
          <w:color w:val="000000"/>
          <w:kern w:val="0"/>
          <w:sz w:val="30"/>
          <w:highlight w:val="none"/>
        </w:rPr>
        <w:t>专用合同条款数据表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2216"/>
        <w:gridCol w:w="6013"/>
      </w:tblGrid>
      <w:tr w14:paraId="790B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080EDE9">
            <w:pPr>
              <w:snapToGrid w:val="0"/>
              <w:ind w:left="-111" w:right="-101" w:rightChars="-48"/>
              <w:jc w:val="center"/>
              <w:rPr>
                <w:rFonts w:ascii="宋体" w:hAnsi="宋体"/>
                <w:color w:val="000000"/>
                <w:highlight w:val="none"/>
              </w:rPr>
            </w:pPr>
            <w:r>
              <w:rPr>
                <w:rFonts w:ascii="宋体" w:hAnsi="宋体"/>
                <w:color w:val="000000"/>
                <w:highlight w:val="none"/>
              </w:rPr>
              <w:t>条款号</w:t>
            </w:r>
          </w:p>
        </w:tc>
        <w:tc>
          <w:tcPr>
            <w:tcW w:w="2216" w:type="dxa"/>
            <w:tcBorders>
              <w:top w:val="single" w:color="auto" w:sz="4" w:space="0"/>
              <w:left w:val="single" w:color="auto" w:sz="4" w:space="0"/>
              <w:bottom w:val="single" w:color="auto" w:sz="4" w:space="0"/>
              <w:right w:val="single" w:color="auto" w:sz="4" w:space="0"/>
            </w:tcBorders>
            <w:noWrap/>
            <w:vAlign w:val="center"/>
          </w:tcPr>
          <w:p w14:paraId="5CC7B4AD">
            <w:pPr>
              <w:snapToGrid w:val="0"/>
              <w:jc w:val="center"/>
              <w:rPr>
                <w:rFonts w:ascii="宋体" w:hAnsi="宋体"/>
                <w:color w:val="000000"/>
                <w:highlight w:val="none"/>
              </w:rPr>
            </w:pPr>
            <w:r>
              <w:rPr>
                <w:rFonts w:ascii="宋体" w:hAnsi="宋体"/>
                <w:color w:val="000000"/>
                <w:highlight w:val="none"/>
              </w:rPr>
              <w:t>条款内容</w:t>
            </w:r>
          </w:p>
        </w:tc>
        <w:tc>
          <w:tcPr>
            <w:tcW w:w="6013" w:type="dxa"/>
            <w:tcBorders>
              <w:top w:val="single" w:color="auto" w:sz="4" w:space="0"/>
              <w:left w:val="single" w:color="auto" w:sz="4" w:space="0"/>
              <w:bottom w:val="single" w:color="auto" w:sz="4" w:space="0"/>
              <w:right w:val="single" w:color="auto" w:sz="4" w:space="0"/>
            </w:tcBorders>
            <w:noWrap/>
            <w:vAlign w:val="center"/>
          </w:tcPr>
          <w:p w14:paraId="672168C5">
            <w:pPr>
              <w:snapToGrid w:val="0"/>
              <w:jc w:val="center"/>
              <w:rPr>
                <w:rFonts w:ascii="宋体" w:hAnsi="宋体"/>
                <w:color w:val="000000"/>
                <w:highlight w:val="none"/>
              </w:rPr>
            </w:pPr>
            <w:r>
              <w:rPr>
                <w:rFonts w:ascii="宋体" w:hAnsi="宋体"/>
                <w:color w:val="000000"/>
                <w:highlight w:val="none"/>
              </w:rPr>
              <w:t>编列内容</w:t>
            </w:r>
          </w:p>
        </w:tc>
      </w:tr>
      <w:tr w14:paraId="5BA1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10239D46">
            <w:pPr>
              <w:snapToGrid w:val="0"/>
              <w:jc w:val="center"/>
              <w:rPr>
                <w:rFonts w:ascii="宋体" w:hAnsi="宋体"/>
                <w:color w:val="000000"/>
                <w:highlight w:val="none"/>
              </w:rPr>
            </w:pPr>
            <w:r>
              <w:rPr>
                <w:rFonts w:ascii="宋体" w:hAnsi="宋体"/>
                <w:color w:val="000000"/>
                <w:highlight w:val="none"/>
              </w:rPr>
              <w:t>1.1.2.2</w:t>
            </w:r>
          </w:p>
        </w:tc>
        <w:tc>
          <w:tcPr>
            <w:tcW w:w="2216" w:type="dxa"/>
            <w:tcBorders>
              <w:top w:val="single" w:color="auto" w:sz="4" w:space="0"/>
              <w:left w:val="single" w:color="auto" w:sz="4" w:space="0"/>
              <w:bottom w:val="single" w:color="auto" w:sz="4" w:space="0"/>
              <w:right w:val="single" w:color="auto" w:sz="4" w:space="0"/>
            </w:tcBorders>
            <w:noWrap/>
            <w:vAlign w:val="center"/>
          </w:tcPr>
          <w:p w14:paraId="573A1E31">
            <w:pPr>
              <w:snapToGrid w:val="0"/>
              <w:jc w:val="center"/>
              <w:rPr>
                <w:rFonts w:ascii="宋体" w:hAnsi="宋体"/>
                <w:color w:val="000000"/>
                <w:highlight w:val="none"/>
              </w:rPr>
            </w:pPr>
            <w:r>
              <w:rPr>
                <w:rFonts w:ascii="宋体" w:hAnsi="宋体"/>
                <w:color w:val="000000"/>
                <w:highlight w:val="none"/>
              </w:rPr>
              <w:t>发包人</w:t>
            </w:r>
          </w:p>
        </w:tc>
        <w:tc>
          <w:tcPr>
            <w:tcW w:w="6013" w:type="dxa"/>
            <w:tcBorders>
              <w:top w:val="single" w:color="auto" w:sz="4" w:space="0"/>
              <w:left w:val="single" w:color="auto" w:sz="4" w:space="0"/>
              <w:bottom w:val="single" w:color="auto" w:sz="4" w:space="0"/>
              <w:right w:val="single" w:color="auto" w:sz="4" w:space="0"/>
            </w:tcBorders>
            <w:noWrap/>
            <w:vAlign w:val="center"/>
          </w:tcPr>
          <w:p w14:paraId="49A9DD12">
            <w:pPr>
              <w:snapToGrid w:val="0"/>
              <w:rPr>
                <w:rFonts w:ascii="宋体" w:hAnsi="宋体"/>
                <w:color w:val="000000"/>
                <w:highlight w:val="none"/>
              </w:rPr>
            </w:pPr>
            <w:r>
              <w:rPr>
                <w:rFonts w:hint="eastAsia" w:ascii="宋体" w:hAnsi="宋体"/>
                <w:color w:val="000000"/>
                <w:highlight w:val="none"/>
              </w:rPr>
              <w:t>南通市港航事业发展中心</w:t>
            </w:r>
          </w:p>
        </w:tc>
      </w:tr>
      <w:tr w14:paraId="2603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098585B3">
            <w:pPr>
              <w:snapToGrid w:val="0"/>
              <w:jc w:val="center"/>
              <w:rPr>
                <w:rFonts w:ascii="宋体" w:hAnsi="宋体"/>
                <w:color w:val="000000"/>
                <w:highlight w:val="none"/>
              </w:rPr>
            </w:pPr>
            <w:r>
              <w:rPr>
                <w:rFonts w:ascii="宋体" w:hAnsi="宋体"/>
                <w:color w:val="000000"/>
                <w:highlight w:val="none"/>
              </w:rPr>
              <w:t>1.1.2.</w:t>
            </w:r>
            <w:r>
              <w:rPr>
                <w:rFonts w:hint="eastAsia" w:ascii="宋体" w:hAnsi="宋体"/>
                <w:color w:val="000000"/>
                <w:highlight w:val="none"/>
              </w:rPr>
              <w:t>6</w:t>
            </w:r>
          </w:p>
        </w:tc>
        <w:tc>
          <w:tcPr>
            <w:tcW w:w="2216" w:type="dxa"/>
            <w:tcBorders>
              <w:top w:val="single" w:color="auto" w:sz="4" w:space="0"/>
              <w:left w:val="single" w:color="auto" w:sz="4" w:space="0"/>
              <w:bottom w:val="single" w:color="auto" w:sz="4" w:space="0"/>
              <w:right w:val="single" w:color="auto" w:sz="4" w:space="0"/>
            </w:tcBorders>
            <w:noWrap/>
            <w:vAlign w:val="center"/>
          </w:tcPr>
          <w:p w14:paraId="11C8ADDE">
            <w:pPr>
              <w:snapToGrid w:val="0"/>
              <w:jc w:val="center"/>
              <w:rPr>
                <w:rFonts w:ascii="宋体" w:hAnsi="宋体"/>
                <w:color w:val="000000"/>
                <w:highlight w:val="none"/>
              </w:rPr>
            </w:pPr>
            <w:r>
              <w:rPr>
                <w:rFonts w:ascii="宋体" w:hAnsi="宋体"/>
                <w:color w:val="000000"/>
                <w:highlight w:val="none"/>
              </w:rPr>
              <w:t>监理人</w:t>
            </w:r>
          </w:p>
        </w:tc>
        <w:tc>
          <w:tcPr>
            <w:tcW w:w="6013" w:type="dxa"/>
            <w:tcBorders>
              <w:top w:val="single" w:color="auto" w:sz="4" w:space="0"/>
              <w:left w:val="single" w:color="auto" w:sz="4" w:space="0"/>
              <w:bottom w:val="single" w:color="auto" w:sz="4" w:space="0"/>
              <w:right w:val="single" w:color="auto" w:sz="4" w:space="0"/>
            </w:tcBorders>
            <w:noWrap/>
            <w:vAlign w:val="center"/>
          </w:tcPr>
          <w:p w14:paraId="6FE4A2FC">
            <w:pPr>
              <w:snapToGrid w:val="0"/>
              <w:rPr>
                <w:rFonts w:ascii="宋体" w:hAnsi="宋体"/>
                <w:color w:val="000000"/>
                <w:highlight w:val="none"/>
              </w:rPr>
            </w:pPr>
            <w:r>
              <w:rPr>
                <w:rFonts w:ascii="宋体" w:hAnsi="宋体"/>
                <w:color w:val="000000"/>
                <w:highlight w:val="none"/>
              </w:rPr>
              <w:t>监理人：</w:t>
            </w:r>
            <w:r>
              <w:rPr>
                <w:rFonts w:hint="eastAsia" w:ascii="宋体" w:hAnsi="宋体"/>
                <w:color w:val="000000"/>
                <w:highlight w:val="none"/>
              </w:rPr>
              <w:t>待定。</w:t>
            </w:r>
          </w:p>
        </w:tc>
      </w:tr>
      <w:tr w14:paraId="258A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6ADB823">
            <w:pPr>
              <w:snapToGrid w:val="0"/>
              <w:jc w:val="center"/>
              <w:rPr>
                <w:rFonts w:ascii="宋体" w:hAnsi="宋体"/>
                <w:color w:val="000000"/>
                <w:highlight w:val="none"/>
              </w:rPr>
            </w:pPr>
            <w:r>
              <w:rPr>
                <w:rFonts w:ascii="宋体" w:hAnsi="宋体"/>
                <w:color w:val="000000"/>
                <w:highlight w:val="none"/>
              </w:rPr>
              <w:t>1.1.2.7</w:t>
            </w:r>
          </w:p>
        </w:tc>
        <w:tc>
          <w:tcPr>
            <w:tcW w:w="2216" w:type="dxa"/>
            <w:tcBorders>
              <w:top w:val="single" w:color="auto" w:sz="4" w:space="0"/>
              <w:left w:val="single" w:color="auto" w:sz="4" w:space="0"/>
              <w:bottom w:val="single" w:color="auto" w:sz="4" w:space="0"/>
              <w:right w:val="single" w:color="auto" w:sz="4" w:space="0"/>
            </w:tcBorders>
            <w:noWrap/>
            <w:vAlign w:val="center"/>
          </w:tcPr>
          <w:p w14:paraId="64DB56AB">
            <w:pPr>
              <w:snapToGrid w:val="0"/>
              <w:rPr>
                <w:rFonts w:ascii="宋体" w:hAnsi="宋体"/>
                <w:color w:val="000000"/>
                <w:highlight w:val="none"/>
              </w:rPr>
            </w:pPr>
            <w:r>
              <w:rPr>
                <w:rFonts w:hint="eastAsia" w:ascii="宋体" w:hAnsi="宋体"/>
                <w:color w:val="000000"/>
                <w:highlight w:val="none"/>
              </w:rPr>
              <w:t>总监理工程师（总监）</w:t>
            </w:r>
          </w:p>
        </w:tc>
        <w:tc>
          <w:tcPr>
            <w:tcW w:w="6013" w:type="dxa"/>
            <w:tcBorders>
              <w:top w:val="single" w:color="auto" w:sz="4" w:space="0"/>
              <w:left w:val="single" w:color="auto" w:sz="4" w:space="0"/>
              <w:bottom w:val="single" w:color="auto" w:sz="4" w:space="0"/>
              <w:right w:val="single" w:color="auto" w:sz="4" w:space="0"/>
            </w:tcBorders>
            <w:noWrap/>
            <w:vAlign w:val="center"/>
          </w:tcPr>
          <w:p w14:paraId="46304369">
            <w:pPr>
              <w:snapToGrid w:val="0"/>
              <w:rPr>
                <w:rFonts w:ascii="宋体" w:hAnsi="宋体"/>
                <w:color w:val="000000"/>
                <w:highlight w:val="none"/>
              </w:rPr>
            </w:pPr>
            <w:r>
              <w:rPr>
                <w:rFonts w:ascii="宋体" w:hAnsi="宋体"/>
                <w:color w:val="000000"/>
                <w:highlight w:val="none"/>
              </w:rPr>
              <w:t>总监理工程师：</w:t>
            </w:r>
            <w:r>
              <w:rPr>
                <w:rFonts w:hint="eastAsia" w:ascii="宋体" w:hAnsi="宋体"/>
                <w:color w:val="000000"/>
                <w:highlight w:val="none"/>
              </w:rPr>
              <w:t>待定。</w:t>
            </w:r>
          </w:p>
        </w:tc>
      </w:tr>
      <w:tr w14:paraId="45CB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5CFCFCE">
            <w:pPr>
              <w:snapToGrid w:val="0"/>
              <w:jc w:val="center"/>
              <w:rPr>
                <w:rFonts w:ascii="宋体" w:hAnsi="宋体"/>
                <w:color w:val="000000"/>
                <w:highlight w:val="none"/>
              </w:rPr>
            </w:pPr>
            <w:r>
              <w:rPr>
                <w:rFonts w:hint="eastAsia" w:ascii="宋体" w:hAnsi="宋体"/>
                <w:color w:val="000000"/>
                <w:highlight w:val="none"/>
              </w:rPr>
              <w:t>4.2</w:t>
            </w:r>
          </w:p>
        </w:tc>
        <w:tc>
          <w:tcPr>
            <w:tcW w:w="2216" w:type="dxa"/>
            <w:tcBorders>
              <w:top w:val="single" w:color="auto" w:sz="4" w:space="0"/>
              <w:left w:val="single" w:color="auto" w:sz="4" w:space="0"/>
              <w:bottom w:val="single" w:color="auto" w:sz="4" w:space="0"/>
              <w:right w:val="single" w:color="auto" w:sz="4" w:space="0"/>
            </w:tcBorders>
            <w:noWrap/>
            <w:vAlign w:val="center"/>
          </w:tcPr>
          <w:p w14:paraId="518EAE4E">
            <w:pPr>
              <w:snapToGrid w:val="0"/>
              <w:jc w:val="center"/>
              <w:rPr>
                <w:color w:val="000000"/>
                <w:highlight w:val="none"/>
              </w:rPr>
            </w:pPr>
            <w:r>
              <w:rPr>
                <w:rFonts w:hAnsi="宋体"/>
                <w:color w:val="000000"/>
                <w:highlight w:val="none"/>
              </w:rPr>
              <w:t>履约担保</w:t>
            </w:r>
          </w:p>
        </w:tc>
        <w:tc>
          <w:tcPr>
            <w:tcW w:w="6013" w:type="dxa"/>
            <w:tcBorders>
              <w:top w:val="single" w:color="auto" w:sz="4" w:space="0"/>
              <w:left w:val="single" w:color="auto" w:sz="4" w:space="0"/>
              <w:bottom w:val="single" w:color="auto" w:sz="4" w:space="0"/>
              <w:right w:val="single" w:color="auto" w:sz="4" w:space="0"/>
            </w:tcBorders>
            <w:noWrap/>
            <w:vAlign w:val="center"/>
          </w:tcPr>
          <w:p w14:paraId="4A9979D9">
            <w:pPr>
              <w:snapToGrid w:val="0"/>
              <w:rPr>
                <w:color w:val="000000"/>
                <w:highlight w:val="none"/>
              </w:rPr>
            </w:pPr>
            <w:r>
              <w:rPr>
                <w:rFonts w:hint="eastAsia"/>
                <w:color w:val="000000"/>
                <w:highlight w:val="none"/>
              </w:rPr>
              <w:t>履约担保的形式：不限</w:t>
            </w:r>
          </w:p>
          <w:p w14:paraId="70F1341A">
            <w:pPr>
              <w:snapToGrid w:val="0"/>
              <w:rPr>
                <w:rFonts w:hint="eastAsia" w:eastAsia="宋体"/>
                <w:color w:val="000000"/>
                <w:highlight w:val="none"/>
                <w:lang w:eastAsia="zh-CN"/>
              </w:rPr>
            </w:pPr>
            <w:r>
              <w:rPr>
                <w:rFonts w:hint="eastAsia"/>
                <w:color w:val="000000"/>
                <w:highlight w:val="none"/>
              </w:rPr>
              <w:t>履约担保的金额：5％签约合同价</w:t>
            </w:r>
            <w:r>
              <w:rPr>
                <w:rFonts w:hint="eastAsia"/>
                <w:color w:val="000000"/>
                <w:highlight w:val="none"/>
                <w:lang w:eastAsia="zh-CN"/>
              </w:rPr>
              <w:t>，</w:t>
            </w:r>
            <w:r>
              <w:rPr>
                <w:rFonts w:hint="eastAsia"/>
                <w:color w:val="000000"/>
                <w:highlight w:val="none"/>
              </w:rPr>
              <w:t>投标文件递交截止日当天，投标人在最近一次江苏省公路水路建设市场从业单位信用评定结果中的信用等级被评为AA级或被列入最近一次江苏省公路水运建设市场守信激励主体对象名单（红名单）的履约保证金减少50％。（从业单位在本省无信用评价记录的，信用等级按省交通运输厅关于印发《江苏省公路水运建设市场信用信息管理办法》的通知 苏交规〔2024〕6号文件执行。信用类别：施工；以截止递交投标文件当日查询信息为准。</w:t>
            </w:r>
            <w:r>
              <w:rPr>
                <w:rFonts w:hint="eastAsia"/>
                <w:color w:val="000000"/>
                <w:highlight w:val="none"/>
                <w:lang w:eastAsia="zh-CN"/>
              </w:rPr>
              <w:t>）</w:t>
            </w:r>
          </w:p>
          <w:p w14:paraId="4F249CE0">
            <w:pPr>
              <w:adjustRightInd w:val="0"/>
              <w:snapToGrid w:val="0"/>
              <w:rPr>
                <w:color w:val="000000"/>
                <w:highlight w:val="none"/>
              </w:rPr>
            </w:pPr>
            <w:r>
              <w:rPr>
                <w:rFonts w:hint="eastAsia"/>
                <w:color w:val="000000"/>
                <w:highlight w:val="none"/>
              </w:rPr>
              <w:t>提交履约担保的时间：在收到中标通知书后30天内并在签订合同协议书之前。</w:t>
            </w:r>
          </w:p>
          <w:p w14:paraId="3145AD33">
            <w:pPr>
              <w:snapToGrid w:val="0"/>
              <w:rPr>
                <w:color w:val="000000"/>
                <w:highlight w:val="none"/>
              </w:rPr>
            </w:pPr>
            <w:r>
              <w:rPr>
                <w:rFonts w:hint="eastAsia"/>
                <w:color w:val="000000"/>
                <w:highlight w:val="none"/>
              </w:rPr>
              <w:t>采用银行保函时，出具保函的银行级别：支行及以上级别的国有或股份制商业银行。</w:t>
            </w:r>
          </w:p>
        </w:tc>
      </w:tr>
      <w:tr w14:paraId="78AB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2C167756">
            <w:pPr>
              <w:snapToGrid w:val="0"/>
              <w:jc w:val="center"/>
              <w:rPr>
                <w:rFonts w:ascii="宋体" w:hAnsi="宋体"/>
                <w:color w:val="000000"/>
                <w:highlight w:val="none"/>
              </w:rPr>
            </w:pPr>
            <w:r>
              <w:rPr>
                <w:rFonts w:hint="eastAsia" w:ascii="宋体" w:hAnsi="宋体"/>
                <w:color w:val="000000"/>
                <w:highlight w:val="none"/>
              </w:rPr>
              <w:t>10.1</w:t>
            </w:r>
          </w:p>
        </w:tc>
        <w:tc>
          <w:tcPr>
            <w:tcW w:w="2216" w:type="dxa"/>
            <w:tcBorders>
              <w:top w:val="single" w:color="auto" w:sz="4" w:space="0"/>
              <w:left w:val="single" w:color="auto" w:sz="4" w:space="0"/>
              <w:right w:val="single" w:color="auto" w:sz="4" w:space="0"/>
            </w:tcBorders>
            <w:noWrap/>
            <w:vAlign w:val="center"/>
          </w:tcPr>
          <w:p w14:paraId="2841141F">
            <w:pPr>
              <w:snapToGrid w:val="0"/>
              <w:jc w:val="center"/>
              <w:rPr>
                <w:rFonts w:ascii="宋体" w:hAnsi="宋体"/>
                <w:color w:val="000000"/>
                <w:highlight w:val="none"/>
              </w:rPr>
            </w:pPr>
            <w:r>
              <w:rPr>
                <w:rFonts w:hint="eastAsia" w:ascii="宋体" w:hAnsi="宋体"/>
                <w:color w:val="000000"/>
                <w:highlight w:val="none"/>
              </w:rPr>
              <w:t>合同进度计划提交时间</w:t>
            </w:r>
          </w:p>
        </w:tc>
        <w:tc>
          <w:tcPr>
            <w:tcW w:w="6013" w:type="dxa"/>
            <w:tcBorders>
              <w:top w:val="single" w:color="auto" w:sz="4" w:space="0"/>
              <w:left w:val="single" w:color="auto" w:sz="4" w:space="0"/>
              <w:right w:val="single" w:color="auto" w:sz="4" w:space="0"/>
            </w:tcBorders>
            <w:noWrap/>
            <w:vAlign w:val="center"/>
          </w:tcPr>
          <w:p w14:paraId="57D6C7A3">
            <w:pPr>
              <w:adjustRightInd w:val="0"/>
              <w:snapToGrid w:val="0"/>
              <w:rPr>
                <w:rFonts w:ascii="宋体" w:hAnsi="宋体"/>
                <w:color w:val="000000"/>
                <w:highlight w:val="none"/>
              </w:rPr>
            </w:pPr>
            <w:r>
              <w:rPr>
                <w:rFonts w:hint="eastAsia" w:ascii="宋体" w:hAnsi="宋体"/>
                <w:color w:val="000000"/>
                <w:highlight w:val="none"/>
              </w:rPr>
              <w:t>合同进度计划提交时间</w:t>
            </w:r>
            <w:r>
              <w:rPr>
                <w:rFonts w:ascii="宋体" w:hAnsi="宋体"/>
                <w:color w:val="000000"/>
                <w:highlight w:val="none"/>
              </w:rPr>
              <w:t>：</w:t>
            </w:r>
            <w:r>
              <w:rPr>
                <w:rFonts w:hint="eastAsia" w:ascii="宋体" w:hAnsi="宋体"/>
                <w:color w:val="000000"/>
                <w:highlight w:val="none"/>
              </w:rPr>
              <w:t>承包人在与发包人签订合同协议后的7天内提交给监理人。</w:t>
            </w:r>
          </w:p>
        </w:tc>
      </w:tr>
      <w:tr w14:paraId="51CB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581F5001">
            <w:pPr>
              <w:snapToGrid w:val="0"/>
              <w:jc w:val="center"/>
              <w:rPr>
                <w:rFonts w:ascii="宋体" w:hAnsi="宋体"/>
                <w:color w:val="000000"/>
                <w:highlight w:val="none"/>
              </w:rPr>
            </w:pPr>
            <w:r>
              <w:rPr>
                <w:rFonts w:hint="eastAsia" w:ascii="宋体" w:hAnsi="宋体"/>
                <w:color w:val="000000"/>
                <w:highlight w:val="none"/>
              </w:rPr>
              <w:t>10.2</w:t>
            </w:r>
          </w:p>
        </w:tc>
        <w:tc>
          <w:tcPr>
            <w:tcW w:w="2216" w:type="dxa"/>
            <w:tcBorders>
              <w:top w:val="single" w:color="auto" w:sz="4" w:space="0"/>
              <w:left w:val="single" w:color="auto" w:sz="4" w:space="0"/>
              <w:right w:val="single" w:color="auto" w:sz="4" w:space="0"/>
            </w:tcBorders>
            <w:noWrap/>
            <w:vAlign w:val="center"/>
          </w:tcPr>
          <w:p w14:paraId="2E39B6C1">
            <w:pPr>
              <w:snapToGrid w:val="0"/>
              <w:jc w:val="center"/>
              <w:rPr>
                <w:rFonts w:ascii="宋体" w:hAnsi="宋体"/>
                <w:color w:val="000000"/>
                <w:highlight w:val="none"/>
              </w:rPr>
            </w:pPr>
            <w:r>
              <w:rPr>
                <w:rFonts w:hint="eastAsia" w:ascii="宋体" w:hAnsi="宋体"/>
                <w:color w:val="000000"/>
                <w:highlight w:val="none"/>
              </w:rPr>
              <w:t>合同进度计划修订提交时间</w:t>
            </w:r>
          </w:p>
        </w:tc>
        <w:tc>
          <w:tcPr>
            <w:tcW w:w="6013" w:type="dxa"/>
            <w:tcBorders>
              <w:top w:val="single" w:color="auto" w:sz="4" w:space="0"/>
              <w:left w:val="single" w:color="auto" w:sz="4" w:space="0"/>
              <w:right w:val="single" w:color="auto" w:sz="4" w:space="0"/>
            </w:tcBorders>
            <w:noWrap/>
            <w:vAlign w:val="center"/>
          </w:tcPr>
          <w:p w14:paraId="79F5B827">
            <w:pPr>
              <w:adjustRightInd w:val="0"/>
              <w:snapToGrid w:val="0"/>
              <w:rPr>
                <w:rFonts w:ascii="宋体" w:hAnsi="宋体"/>
                <w:color w:val="000000"/>
                <w:highlight w:val="none"/>
              </w:rPr>
            </w:pPr>
            <w:r>
              <w:rPr>
                <w:rFonts w:hint="eastAsia" w:ascii="宋体" w:hAnsi="宋体"/>
                <w:color w:val="000000"/>
                <w:highlight w:val="none"/>
              </w:rPr>
              <w:t>/</w:t>
            </w:r>
          </w:p>
        </w:tc>
      </w:tr>
      <w:tr w14:paraId="264D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0FBCD92B">
            <w:pPr>
              <w:snapToGrid w:val="0"/>
              <w:jc w:val="center"/>
              <w:rPr>
                <w:rFonts w:ascii="宋体" w:hAnsi="宋体"/>
                <w:color w:val="000000"/>
                <w:highlight w:val="none"/>
              </w:rPr>
            </w:pPr>
            <w:r>
              <w:rPr>
                <w:rFonts w:hint="eastAsia" w:ascii="宋体" w:hAnsi="宋体"/>
                <w:color w:val="000000"/>
                <w:highlight w:val="none"/>
              </w:rPr>
              <w:t>11.1</w:t>
            </w:r>
          </w:p>
        </w:tc>
        <w:tc>
          <w:tcPr>
            <w:tcW w:w="2216" w:type="dxa"/>
            <w:tcBorders>
              <w:top w:val="single" w:color="auto" w:sz="4" w:space="0"/>
              <w:left w:val="single" w:color="auto" w:sz="4" w:space="0"/>
              <w:right w:val="single" w:color="auto" w:sz="4" w:space="0"/>
            </w:tcBorders>
            <w:noWrap/>
            <w:vAlign w:val="center"/>
          </w:tcPr>
          <w:p w14:paraId="4A7EDAAC">
            <w:pPr>
              <w:snapToGrid w:val="0"/>
              <w:jc w:val="center"/>
              <w:rPr>
                <w:rFonts w:ascii="宋体" w:hAnsi="宋体"/>
                <w:color w:val="000000"/>
                <w:highlight w:val="none"/>
              </w:rPr>
            </w:pPr>
            <w:r>
              <w:rPr>
                <w:rFonts w:hint="eastAsia" w:ascii="宋体" w:hAnsi="宋体"/>
                <w:color w:val="000000"/>
                <w:highlight w:val="none"/>
              </w:rPr>
              <w:t>开工</w:t>
            </w:r>
          </w:p>
        </w:tc>
        <w:tc>
          <w:tcPr>
            <w:tcW w:w="6013" w:type="dxa"/>
            <w:tcBorders>
              <w:top w:val="single" w:color="auto" w:sz="4" w:space="0"/>
              <w:left w:val="single" w:color="auto" w:sz="4" w:space="0"/>
              <w:right w:val="single" w:color="auto" w:sz="4" w:space="0"/>
            </w:tcBorders>
            <w:noWrap/>
            <w:vAlign w:val="center"/>
          </w:tcPr>
          <w:p w14:paraId="13614478">
            <w:pPr>
              <w:snapToGrid w:val="0"/>
              <w:rPr>
                <w:rFonts w:ascii="宋体" w:hAnsi="宋体"/>
                <w:b/>
                <w:color w:val="000000"/>
                <w:highlight w:val="none"/>
              </w:rPr>
            </w:pPr>
            <w:r>
              <w:rPr>
                <w:rFonts w:hint="eastAsia" w:ascii="宋体" w:hAnsi="宋体"/>
                <w:b/>
                <w:color w:val="000000"/>
                <w:highlight w:val="none"/>
              </w:rPr>
              <w:t>按监理人指示开工。</w:t>
            </w:r>
          </w:p>
        </w:tc>
      </w:tr>
      <w:tr w14:paraId="7AA7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952" w:type="dxa"/>
            <w:tcBorders>
              <w:top w:val="single" w:color="auto" w:sz="4" w:space="0"/>
              <w:left w:val="single" w:color="auto" w:sz="4" w:space="0"/>
              <w:right w:val="single" w:color="auto" w:sz="4" w:space="0"/>
            </w:tcBorders>
            <w:noWrap/>
            <w:vAlign w:val="center"/>
          </w:tcPr>
          <w:p w14:paraId="6AF4231C">
            <w:pPr>
              <w:snapToGrid w:val="0"/>
              <w:jc w:val="center"/>
              <w:rPr>
                <w:rFonts w:ascii="宋体" w:hAnsi="宋体"/>
                <w:color w:val="000000"/>
                <w:highlight w:val="none"/>
              </w:rPr>
            </w:pPr>
            <w:r>
              <w:rPr>
                <w:rFonts w:ascii="宋体" w:hAnsi="宋体"/>
                <w:color w:val="000000"/>
                <w:highlight w:val="none"/>
              </w:rPr>
              <w:t>11.2</w:t>
            </w:r>
          </w:p>
        </w:tc>
        <w:tc>
          <w:tcPr>
            <w:tcW w:w="2216" w:type="dxa"/>
            <w:tcBorders>
              <w:top w:val="single" w:color="auto" w:sz="4" w:space="0"/>
              <w:left w:val="single" w:color="auto" w:sz="4" w:space="0"/>
              <w:right w:val="single" w:color="auto" w:sz="4" w:space="0"/>
            </w:tcBorders>
            <w:noWrap/>
            <w:vAlign w:val="center"/>
          </w:tcPr>
          <w:p w14:paraId="21C1C772">
            <w:pPr>
              <w:snapToGrid w:val="0"/>
              <w:jc w:val="center"/>
              <w:rPr>
                <w:rFonts w:ascii="宋体" w:hAnsi="宋体"/>
                <w:color w:val="000000"/>
                <w:highlight w:val="none"/>
              </w:rPr>
            </w:pPr>
            <w:r>
              <w:rPr>
                <w:rFonts w:hint="eastAsia" w:ascii="宋体" w:hAnsi="宋体"/>
                <w:color w:val="000000"/>
                <w:highlight w:val="none"/>
              </w:rPr>
              <w:t>竣工期限</w:t>
            </w:r>
          </w:p>
        </w:tc>
        <w:tc>
          <w:tcPr>
            <w:tcW w:w="6013" w:type="dxa"/>
            <w:tcBorders>
              <w:top w:val="single" w:color="auto" w:sz="4" w:space="0"/>
              <w:left w:val="single" w:color="auto" w:sz="4" w:space="0"/>
              <w:right w:val="single" w:color="auto" w:sz="4" w:space="0"/>
            </w:tcBorders>
            <w:noWrap/>
            <w:vAlign w:val="center"/>
          </w:tcPr>
          <w:p w14:paraId="2398B744">
            <w:pPr>
              <w:snapToGrid w:val="0"/>
              <w:rPr>
                <w:rFonts w:ascii="宋体" w:hAnsi="宋体"/>
                <w:b/>
                <w:color w:val="000000"/>
                <w:highlight w:val="none"/>
              </w:rPr>
            </w:pPr>
            <w:r>
              <w:rPr>
                <w:rFonts w:ascii="宋体" w:hAnsi="宋体"/>
                <w:color w:val="000000"/>
                <w:highlight w:val="none"/>
              </w:rPr>
              <w:t>承包人完成全部工程的期</w:t>
            </w:r>
            <w:r>
              <w:rPr>
                <w:rFonts w:hint="eastAsia" w:ascii="宋体" w:hAnsi="宋体"/>
                <w:color w:val="000000"/>
                <w:highlight w:val="none"/>
              </w:rPr>
              <w:t>限:</w:t>
            </w:r>
            <w:r>
              <w:rPr>
                <w:rFonts w:hint="eastAsia" w:ascii="宋体" w:hAnsi="宋体"/>
                <w:color w:val="000000"/>
                <w:highlight w:val="none"/>
                <w:lang w:val="en-US" w:eastAsia="zh-CN"/>
              </w:rPr>
              <w:t>60日历天</w:t>
            </w:r>
            <w:r>
              <w:rPr>
                <w:rFonts w:hint="eastAsia" w:ascii="宋体" w:hAnsi="宋体"/>
                <w:color w:val="000000"/>
                <w:highlight w:val="none"/>
              </w:rPr>
              <w:t>。</w:t>
            </w:r>
          </w:p>
        </w:tc>
      </w:tr>
      <w:tr w14:paraId="44BF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5888849">
            <w:pPr>
              <w:snapToGrid w:val="0"/>
              <w:jc w:val="center"/>
              <w:rPr>
                <w:rFonts w:ascii="宋体" w:hAnsi="宋体"/>
                <w:color w:val="000000"/>
                <w:highlight w:val="none"/>
              </w:rPr>
            </w:pPr>
            <w:r>
              <w:rPr>
                <w:rFonts w:ascii="宋体" w:hAnsi="宋体"/>
                <w:color w:val="000000"/>
                <w:highlight w:val="none"/>
              </w:rPr>
              <w:t>11.</w:t>
            </w:r>
            <w:r>
              <w:rPr>
                <w:rFonts w:hint="eastAsia" w:ascii="宋体" w:hAnsi="宋体"/>
                <w:color w:val="000000"/>
                <w:highlight w:val="none"/>
              </w:rPr>
              <w:t>5</w:t>
            </w:r>
          </w:p>
        </w:tc>
        <w:tc>
          <w:tcPr>
            <w:tcW w:w="2216" w:type="dxa"/>
            <w:tcBorders>
              <w:top w:val="single" w:color="auto" w:sz="4" w:space="0"/>
              <w:left w:val="single" w:color="auto" w:sz="4" w:space="0"/>
              <w:bottom w:val="single" w:color="auto" w:sz="4" w:space="0"/>
              <w:right w:val="single" w:color="auto" w:sz="4" w:space="0"/>
            </w:tcBorders>
            <w:noWrap/>
            <w:vAlign w:val="center"/>
          </w:tcPr>
          <w:p w14:paraId="1898EF83">
            <w:pPr>
              <w:snapToGrid w:val="0"/>
              <w:jc w:val="center"/>
              <w:rPr>
                <w:rFonts w:ascii="宋体" w:hAnsi="宋体"/>
                <w:color w:val="000000"/>
                <w:highlight w:val="none"/>
              </w:rPr>
            </w:pPr>
            <w:r>
              <w:rPr>
                <w:rFonts w:ascii="宋体" w:hAnsi="宋体"/>
                <w:color w:val="000000"/>
                <w:highlight w:val="none"/>
              </w:rPr>
              <w:t>逾期</w:t>
            </w:r>
            <w:r>
              <w:rPr>
                <w:rFonts w:hint="eastAsia" w:ascii="宋体" w:hAnsi="宋体"/>
                <w:color w:val="000000"/>
                <w:highlight w:val="none"/>
              </w:rPr>
              <w:t>竣工</w:t>
            </w:r>
            <w:r>
              <w:rPr>
                <w:rFonts w:ascii="宋体" w:hAnsi="宋体"/>
                <w:color w:val="000000"/>
                <w:highlight w:val="none"/>
              </w:rPr>
              <w:t>违约金</w:t>
            </w:r>
          </w:p>
        </w:tc>
        <w:tc>
          <w:tcPr>
            <w:tcW w:w="6013" w:type="dxa"/>
            <w:tcBorders>
              <w:top w:val="single" w:color="auto" w:sz="4" w:space="0"/>
              <w:left w:val="single" w:color="auto" w:sz="4" w:space="0"/>
              <w:bottom w:val="single" w:color="auto" w:sz="4" w:space="0"/>
              <w:right w:val="single" w:color="auto" w:sz="4" w:space="0"/>
            </w:tcBorders>
            <w:noWrap/>
            <w:vAlign w:val="center"/>
          </w:tcPr>
          <w:p w14:paraId="522A7F19">
            <w:pPr>
              <w:snapToGrid w:val="0"/>
              <w:rPr>
                <w:rFonts w:ascii="宋体" w:hAnsi="宋体"/>
                <w:color w:val="000000"/>
                <w:highlight w:val="none"/>
              </w:rPr>
            </w:pPr>
            <w:r>
              <w:rPr>
                <w:rFonts w:hint="eastAsia" w:ascii="宋体" w:hAnsi="宋体"/>
                <w:color w:val="000000"/>
                <w:highlight w:val="none"/>
                <w:lang w:val="en-US" w:eastAsia="zh-CN"/>
              </w:rPr>
              <w:t>5</w:t>
            </w:r>
            <w:r>
              <w:rPr>
                <w:rFonts w:hint="eastAsia" w:ascii="宋体" w:hAnsi="宋体"/>
                <w:color w:val="000000"/>
                <w:highlight w:val="none"/>
              </w:rPr>
              <w:t>千元/天</w:t>
            </w:r>
          </w:p>
        </w:tc>
      </w:tr>
      <w:tr w14:paraId="4E38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4EF056C">
            <w:pPr>
              <w:snapToGrid w:val="0"/>
              <w:jc w:val="center"/>
              <w:rPr>
                <w:rFonts w:ascii="宋体" w:hAnsi="宋体"/>
                <w:color w:val="000000"/>
                <w:highlight w:val="none"/>
              </w:rPr>
            </w:pPr>
            <w:r>
              <w:rPr>
                <w:rFonts w:hint="eastAsia" w:ascii="宋体" w:hAnsi="宋体"/>
                <w:color w:val="000000"/>
                <w:highlight w:val="none"/>
              </w:rPr>
              <w:t>11.5</w:t>
            </w:r>
          </w:p>
        </w:tc>
        <w:tc>
          <w:tcPr>
            <w:tcW w:w="2216" w:type="dxa"/>
            <w:tcBorders>
              <w:top w:val="single" w:color="auto" w:sz="4" w:space="0"/>
              <w:left w:val="single" w:color="auto" w:sz="4" w:space="0"/>
              <w:bottom w:val="single" w:color="auto" w:sz="4" w:space="0"/>
              <w:right w:val="single" w:color="auto" w:sz="4" w:space="0"/>
            </w:tcBorders>
            <w:noWrap/>
            <w:vAlign w:val="center"/>
          </w:tcPr>
          <w:p w14:paraId="6D8D500C">
            <w:pPr>
              <w:snapToGrid w:val="0"/>
              <w:jc w:val="center"/>
              <w:rPr>
                <w:rFonts w:ascii="宋体" w:hAnsi="宋体"/>
                <w:color w:val="000000"/>
                <w:highlight w:val="none"/>
              </w:rPr>
            </w:pPr>
            <w:r>
              <w:rPr>
                <w:rFonts w:ascii="宋体" w:hAnsi="宋体"/>
                <w:color w:val="000000"/>
                <w:highlight w:val="none"/>
              </w:rPr>
              <w:t>逾期</w:t>
            </w:r>
            <w:r>
              <w:rPr>
                <w:rFonts w:hint="eastAsia" w:ascii="宋体" w:hAnsi="宋体"/>
                <w:color w:val="000000"/>
                <w:highlight w:val="none"/>
              </w:rPr>
              <w:t>竣工</w:t>
            </w:r>
            <w:r>
              <w:rPr>
                <w:rFonts w:ascii="宋体" w:hAnsi="宋体"/>
                <w:color w:val="000000"/>
                <w:highlight w:val="none"/>
              </w:rPr>
              <w:t>违约金</w:t>
            </w:r>
            <w:r>
              <w:rPr>
                <w:rFonts w:hint="eastAsia" w:ascii="宋体" w:hAnsi="宋体"/>
                <w:color w:val="000000"/>
                <w:highlight w:val="none"/>
              </w:rPr>
              <w:t>限额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5699610B">
            <w:pPr>
              <w:snapToGrid w:val="0"/>
              <w:rPr>
                <w:rFonts w:ascii="宋体" w:hAnsi="宋体"/>
                <w:color w:val="000000"/>
                <w:highlight w:val="none"/>
              </w:rPr>
            </w:pPr>
            <w:r>
              <w:rPr>
                <w:rFonts w:hint="eastAsia" w:ascii="宋体" w:hAnsi="宋体"/>
                <w:color w:val="000000"/>
                <w:highlight w:val="none"/>
              </w:rPr>
              <w:t>签约合同价的5</w:t>
            </w:r>
            <w:r>
              <w:rPr>
                <w:rFonts w:ascii="宋体" w:hAnsi="宋体"/>
                <w:color w:val="000000"/>
                <w:highlight w:val="none"/>
              </w:rPr>
              <w:t>%</w:t>
            </w:r>
          </w:p>
        </w:tc>
      </w:tr>
      <w:tr w14:paraId="71C9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05530EE">
            <w:pPr>
              <w:snapToGrid w:val="0"/>
              <w:jc w:val="center"/>
              <w:rPr>
                <w:rFonts w:ascii="宋体" w:hAnsi="宋体"/>
                <w:color w:val="000000"/>
                <w:highlight w:val="none"/>
              </w:rPr>
            </w:pPr>
            <w:r>
              <w:rPr>
                <w:rFonts w:hint="eastAsia" w:ascii="宋体" w:hAnsi="宋体"/>
                <w:color w:val="000000"/>
                <w:highlight w:val="none"/>
              </w:rPr>
              <w:t>13.1.1</w:t>
            </w:r>
          </w:p>
        </w:tc>
        <w:tc>
          <w:tcPr>
            <w:tcW w:w="2216" w:type="dxa"/>
            <w:tcBorders>
              <w:top w:val="single" w:color="auto" w:sz="4" w:space="0"/>
              <w:left w:val="single" w:color="auto" w:sz="4" w:space="0"/>
              <w:bottom w:val="single" w:color="auto" w:sz="4" w:space="0"/>
              <w:right w:val="single" w:color="auto" w:sz="4" w:space="0"/>
            </w:tcBorders>
            <w:noWrap/>
            <w:vAlign w:val="center"/>
          </w:tcPr>
          <w:p w14:paraId="286E6EC3">
            <w:pPr>
              <w:snapToGrid w:val="0"/>
              <w:jc w:val="center"/>
              <w:rPr>
                <w:rFonts w:ascii="宋体" w:hAnsi="宋体"/>
                <w:color w:val="000000"/>
                <w:highlight w:val="none"/>
              </w:rPr>
            </w:pPr>
            <w:r>
              <w:rPr>
                <w:rFonts w:hint="eastAsia" w:ascii="宋体" w:hAnsi="宋体"/>
                <w:color w:val="000000"/>
                <w:highlight w:val="none"/>
              </w:rPr>
              <w:t>工程质量验收标准</w:t>
            </w:r>
          </w:p>
        </w:tc>
        <w:tc>
          <w:tcPr>
            <w:tcW w:w="6013" w:type="dxa"/>
            <w:tcBorders>
              <w:top w:val="single" w:color="auto" w:sz="4" w:space="0"/>
              <w:left w:val="single" w:color="auto" w:sz="4" w:space="0"/>
              <w:bottom w:val="single" w:color="auto" w:sz="4" w:space="0"/>
              <w:right w:val="single" w:color="auto" w:sz="4" w:space="0"/>
            </w:tcBorders>
            <w:noWrap/>
            <w:vAlign w:val="center"/>
          </w:tcPr>
          <w:p w14:paraId="7812C58E">
            <w:pPr>
              <w:snapToGrid w:val="0"/>
              <w:rPr>
                <w:rFonts w:ascii="宋体" w:hAnsi="宋体"/>
                <w:color w:val="000000"/>
                <w:highlight w:val="none"/>
              </w:rPr>
            </w:pPr>
            <w:r>
              <w:rPr>
                <w:rFonts w:hint="eastAsia" w:ascii="宋体" w:hAnsi="宋体"/>
                <w:color w:val="000000"/>
                <w:highlight w:val="none"/>
              </w:rPr>
              <w:t>达到交通运输部发布的《水运工程质量检验标准》合格等级，且达到江苏省市场监督管理局发布的《内河航道维护技术及质量评定规范》优良等级。</w:t>
            </w:r>
          </w:p>
        </w:tc>
      </w:tr>
      <w:tr w14:paraId="3520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0EFE2BFE">
            <w:pPr>
              <w:snapToGrid w:val="0"/>
              <w:jc w:val="center"/>
              <w:rPr>
                <w:color w:val="000000"/>
                <w:highlight w:val="none"/>
              </w:rPr>
            </w:pPr>
            <w:r>
              <w:rPr>
                <w:rFonts w:hint="eastAsia"/>
                <w:color w:val="000000"/>
                <w:highlight w:val="none"/>
              </w:rPr>
              <w:t>16</w:t>
            </w:r>
          </w:p>
        </w:tc>
        <w:tc>
          <w:tcPr>
            <w:tcW w:w="2216" w:type="dxa"/>
            <w:tcBorders>
              <w:top w:val="single" w:color="auto" w:sz="4" w:space="0"/>
              <w:left w:val="single" w:color="auto" w:sz="4" w:space="0"/>
              <w:bottom w:val="single" w:color="auto" w:sz="4" w:space="0"/>
              <w:right w:val="single" w:color="auto" w:sz="4" w:space="0"/>
            </w:tcBorders>
            <w:noWrap/>
            <w:vAlign w:val="center"/>
          </w:tcPr>
          <w:p w14:paraId="26470830">
            <w:pPr>
              <w:snapToGrid w:val="0"/>
              <w:jc w:val="center"/>
              <w:rPr>
                <w:color w:val="000000"/>
                <w:highlight w:val="none"/>
              </w:rPr>
            </w:pPr>
            <w:r>
              <w:rPr>
                <w:rFonts w:hint="eastAsia"/>
                <w:color w:val="000000"/>
                <w:highlight w:val="none"/>
              </w:rPr>
              <w:t>价格调整</w:t>
            </w:r>
          </w:p>
        </w:tc>
        <w:tc>
          <w:tcPr>
            <w:tcW w:w="6013" w:type="dxa"/>
            <w:tcBorders>
              <w:top w:val="single" w:color="auto" w:sz="4" w:space="0"/>
              <w:left w:val="single" w:color="auto" w:sz="4" w:space="0"/>
              <w:bottom w:val="single" w:color="auto" w:sz="4" w:space="0"/>
              <w:right w:val="single" w:color="auto" w:sz="4" w:space="0"/>
            </w:tcBorders>
            <w:noWrap/>
            <w:vAlign w:val="center"/>
          </w:tcPr>
          <w:p w14:paraId="15751542">
            <w:pPr>
              <w:snapToGrid w:val="0"/>
              <w:rPr>
                <w:color w:val="000000"/>
                <w:highlight w:val="none"/>
              </w:rPr>
            </w:pPr>
            <w:r>
              <w:rPr>
                <w:rFonts w:hint="eastAsia" w:ascii="宋体"/>
                <w:color w:val="000000"/>
                <w:highlight w:val="none"/>
              </w:rPr>
              <w:t>由于人工和设备等价格波动以及材料价格波动影响合同价格时，合同价格一律不予调整。</w:t>
            </w:r>
          </w:p>
        </w:tc>
      </w:tr>
      <w:tr w14:paraId="122C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488ECED">
            <w:pPr>
              <w:snapToGrid w:val="0"/>
              <w:jc w:val="center"/>
              <w:rPr>
                <w:rFonts w:ascii="宋体" w:hAnsi="宋体"/>
                <w:color w:val="000000"/>
                <w:highlight w:val="none"/>
              </w:rPr>
            </w:pPr>
            <w:r>
              <w:rPr>
                <w:rFonts w:ascii="宋体" w:hAnsi="宋体"/>
                <w:color w:val="000000"/>
                <w:highlight w:val="none"/>
              </w:rPr>
              <w:t>17.2.1</w:t>
            </w:r>
          </w:p>
        </w:tc>
        <w:tc>
          <w:tcPr>
            <w:tcW w:w="2216" w:type="dxa"/>
            <w:tcBorders>
              <w:top w:val="single" w:color="auto" w:sz="4" w:space="0"/>
              <w:left w:val="single" w:color="auto" w:sz="4" w:space="0"/>
              <w:bottom w:val="single" w:color="auto" w:sz="4" w:space="0"/>
              <w:right w:val="single" w:color="auto" w:sz="4" w:space="0"/>
            </w:tcBorders>
            <w:noWrap/>
            <w:vAlign w:val="center"/>
          </w:tcPr>
          <w:p w14:paraId="15B877C4">
            <w:pPr>
              <w:snapToGrid w:val="0"/>
              <w:jc w:val="center"/>
              <w:rPr>
                <w:rFonts w:ascii="宋体" w:hAnsi="宋体"/>
                <w:color w:val="000000"/>
                <w:highlight w:val="none"/>
              </w:rPr>
            </w:pPr>
            <w:r>
              <w:rPr>
                <w:rFonts w:ascii="宋体" w:hAnsi="宋体"/>
                <w:color w:val="000000"/>
                <w:highlight w:val="none"/>
              </w:rPr>
              <w:t>预付款额度</w:t>
            </w:r>
          </w:p>
        </w:tc>
        <w:tc>
          <w:tcPr>
            <w:tcW w:w="6013" w:type="dxa"/>
            <w:tcBorders>
              <w:top w:val="single" w:color="auto" w:sz="4" w:space="0"/>
              <w:left w:val="single" w:color="auto" w:sz="4" w:space="0"/>
              <w:bottom w:val="single" w:color="auto" w:sz="4" w:space="0"/>
              <w:right w:val="single" w:color="auto" w:sz="4" w:space="0"/>
            </w:tcBorders>
            <w:noWrap/>
            <w:vAlign w:val="center"/>
          </w:tcPr>
          <w:p w14:paraId="531A8E0C">
            <w:pPr>
              <w:snapToGrid w:val="0"/>
              <w:rPr>
                <w:rFonts w:hint="eastAsia"/>
                <w:highlight w:val="none"/>
                <w:lang w:val="en-US" w:eastAsia="zh-CN"/>
              </w:rPr>
            </w:pPr>
            <w:r>
              <w:rPr>
                <w:rFonts w:hint="eastAsia"/>
                <w:highlight w:val="none"/>
              </w:rPr>
              <w:t>开工预付款金额：</w:t>
            </w:r>
            <w:r>
              <w:rPr>
                <w:rFonts w:hint="eastAsia"/>
                <w:highlight w:val="none"/>
                <w:lang w:val="en-US" w:eastAsia="zh-CN"/>
              </w:rPr>
              <w:t>/</w:t>
            </w:r>
          </w:p>
          <w:p w14:paraId="25FDE75A">
            <w:pPr>
              <w:snapToGrid w:val="0"/>
              <w:rPr>
                <w:rFonts w:ascii="宋体" w:hAnsi="宋体"/>
                <w:color w:val="000000"/>
                <w:highlight w:val="none"/>
              </w:rPr>
            </w:pPr>
            <w:r>
              <w:rPr>
                <w:rFonts w:hint="eastAsia"/>
                <w:highlight w:val="none"/>
              </w:rPr>
              <w:t>不需提供保函。</w:t>
            </w:r>
          </w:p>
        </w:tc>
      </w:tr>
      <w:tr w14:paraId="4A38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0C2E0CF">
            <w:pPr>
              <w:snapToGrid w:val="0"/>
              <w:jc w:val="center"/>
              <w:rPr>
                <w:rFonts w:ascii="宋体" w:hAnsi="宋体"/>
                <w:color w:val="000000"/>
                <w:highlight w:val="none"/>
              </w:rPr>
            </w:pPr>
            <w:r>
              <w:rPr>
                <w:rFonts w:hint="eastAsia" w:ascii="宋体" w:hAnsi="宋体"/>
                <w:color w:val="000000"/>
                <w:highlight w:val="none"/>
              </w:rPr>
              <w:t>17.3.2</w:t>
            </w:r>
          </w:p>
        </w:tc>
        <w:tc>
          <w:tcPr>
            <w:tcW w:w="2216" w:type="dxa"/>
            <w:tcBorders>
              <w:top w:val="single" w:color="auto" w:sz="4" w:space="0"/>
              <w:left w:val="single" w:color="auto" w:sz="4" w:space="0"/>
              <w:bottom w:val="single" w:color="auto" w:sz="4" w:space="0"/>
              <w:right w:val="single" w:color="auto" w:sz="4" w:space="0"/>
            </w:tcBorders>
            <w:noWrap/>
            <w:vAlign w:val="center"/>
          </w:tcPr>
          <w:p w14:paraId="33BC9333">
            <w:pPr>
              <w:snapToGrid w:val="0"/>
              <w:jc w:val="center"/>
              <w:rPr>
                <w:rFonts w:ascii="宋体" w:hAnsi="宋体"/>
                <w:color w:val="000000"/>
                <w:highlight w:val="none"/>
              </w:rPr>
            </w:pPr>
            <w:r>
              <w:rPr>
                <w:rFonts w:hint="eastAsia" w:ascii="宋体" w:hAnsi="宋体"/>
                <w:color w:val="000000"/>
                <w:highlight w:val="none"/>
              </w:rPr>
              <w:t>进度付款申请单</w:t>
            </w:r>
          </w:p>
        </w:tc>
        <w:tc>
          <w:tcPr>
            <w:tcW w:w="6013" w:type="dxa"/>
            <w:tcBorders>
              <w:top w:val="single" w:color="auto" w:sz="4" w:space="0"/>
              <w:left w:val="single" w:color="auto" w:sz="4" w:space="0"/>
              <w:bottom w:val="single" w:color="auto" w:sz="4" w:space="0"/>
              <w:right w:val="single" w:color="auto" w:sz="4" w:space="0"/>
            </w:tcBorders>
            <w:noWrap/>
            <w:vAlign w:val="center"/>
          </w:tcPr>
          <w:p w14:paraId="72B14A20">
            <w:pPr>
              <w:adjustRightInd w:val="0"/>
              <w:snapToGrid w:val="0"/>
              <w:rPr>
                <w:rFonts w:ascii="宋体" w:hAnsi="宋体"/>
                <w:color w:val="000000"/>
                <w:highlight w:val="none"/>
              </w:rPr>
            </w:pPr>
            <w:r>
              <w:rPr>
                <w:rFonts w:hint="eastAsia" w:ascii="宋体" w:hAnsi="宋体"/>
                <w:color w:val="000000"/>
                <w:highlight w:val="none"/>
              </w:rPr>
              <w:t>/</w:t>
            </w:r>
          </w:p>
        </w:tc>
      </w:tr>
      <w:tr w14:paraId="3EF1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BC046CA">
            <w:pPr>
              <w:snapToGrid w:val="0"/>
              <w:jc w:val="center"/>
              <w:rPr>
                <w:rFonts w:ascii="宋体" w:hAnsi="宋体"/>
                <w:color w:val="000000"/>
                <w:highlight w:val="none"/>
              </w:rPr>
            </w:pPr>
            <w:r>
              <w:rPr>
                <w:rFonts w:hint="eastAsia" w:ascii="宋体" w:hAnsi="宋体"/>
                <w:color w:val="000000"/>
                <w:highlight w:val="none"/>
              </w:rPr>
              <w:t>17.3.3</w:t>
            </w:r>
          </w:p>
        </w:tc>
        <w:tc>
          <w:tcPr>
            <w:tcW w:w="2216" w:type="dxa"/>
            <w:tcBorders>
              <w:top w:val="single" w:color="auto" w:sz="4" w:space="0"/>
              <w:left w:val="single" w:color="auto" w:sz="4" w:space="0"/>
              <w:bottom w:val="single" w:color="auto" w:sz="4" w:space="0"/>
              <w:right w:val="single" w:color="auto" w:sz="4" w:space="0"/>
            </w:tcBorders>
            <w:noWrap/>
            <w:vAlign w:val="center"/>
          </w:tcPr>
          <w:p w14:paraId="58251830">
            <w:pPr>
              <w:snapToGrid w:val="0"/>
              <w:jc w:val="center"/>
              <w:rPr>
                <w:rFonts w:ascii="宋体" w:hAnsi="宋体"/>
                <w:color w:val="000000"/>
                <w:highlight w:val="none"/>
              </w:rPr>
            </w:pPr>
            <w:r>
              <w:rPr>
                <w:rFonts w:hint="eastAsia" w:ascii="宋体" w:hAnsi="宋体"/>
                <w:color w:val="000000"/>
                <w:highlight w:val="none"/>
              </w:rPr>
              <w:t>进度付款证书和支付时间</w:t>
            </w:r>
          </w:p>
        </w:tc>
        <w:tc>
          <w:tcPr>
            <w:tcW w:w="6013" w:type="dxa"/>
            <w:tcBorders>
              <w:top w:val="single" w:color="auto" w:sz="4" w:space="0"/>
              <w:left w:val="single" w:color="auto" w:sz="4" w:space="0"/>
              <w:bottom w:val="single" w:color="auto" w:sz="4" w:space="0"/>
              <w:right w:val="single" w:color="auto" w:sz="4" w:space="0"/>
            </w:tcBorders>
            <w:noWrap/>
            <w:vAlign w:val="center"/>
          </w:tcPr>
          <w:p w14:paraId="102AD022">
            <w:pPr>
              <w:snapToGrid w:val="0"/>
              <w:rPr>
                <w:rFonts w:ascii="宋体" w:hAnsi="宋体"/>
                <w:color w:val="000000"/>
                <w:highlight w:val="none"/>
              </w:rPr>
            </w:pPr>
            <w:r>
              <w:rPr>
                <w:rFonts w:hint="eastAsia" w:ascii="宋体" w:hAnsi="宋体"/>
                <w:color w:val="000000"/>
                <w:highlight w:val="none"/>
              </w:rPr>
              <w:t>详见专用合同条款</w:t>
            </w:r>
          </w:p>
          <w:p w14:paraId="43DFC41D">
            <w:pPr>
              <w:snapToGrid w:val="0"/>
              <w:rPr>
                <w:rFonts w:ascii="宋体" w:hAnsi="宋体"/>
                <w:color w:val="000000"/>
                <w:highlight w:val="none"/>
              </w:rPr>
            </w:pPr>
            <w:r>
              <w:rPr>
                <w:rFonts w:hint="eastAsia"/>
                <w:b/>
                <w:color w:val="000000"/>
                <w:highlight w:val="none"/>
              </w:rPr>
              <w:t>承包人提供了相应数额的发票（应提供施工所在地税务部门开出的完税凭证）或盖有税务局监制章（或税务机关认可）的正式收据正本</w:t>
            </w:r>
          </w:p>
        </w:tc>
      </w:tr>
      <w:tr w14:paraId="289F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396F6E3A">
            <w:pPr>
              <w:snapToGrid w:val="0"/>
              <w:jc w:val="center"/>
              <w:rPr>
                <w:rFonts w:ascii="宋体" w:hAnsi="宋体"/>
                <w:color w:val="000000"/>
                <w:highlight w:val="none"/>
              </w:rPr>
            </w:pPr>
            <w:r>
              <w:rPr>
                <w:rFonts w:hint="eastAsia" w:ascii="宋体" w:hAnsi="宋体"/>
                <w:color w:val="000000"/>
                <w:highlight w:val="none"/>
              </w:rPr>
              <w:t>17.3.3</w:t>
            </w:r>
          </w:p>
        </w:tc>
        <w:tc>
          <w:tcPr>
            <w:tcW w:w="2216" w:type="dxa"/>
            <w:tcBorders>
              <w:top w:val="single" w:color="auto" w:sz="4" w:space="0"/>
              <w:left w:val="single" w:color="auto" w:sz="4" w:space="0"/>
              <w:bottom w:val="single" w:color="auto" w:sz="4" w:space="0"/>
              <w:right w:val="single" w:color="auto" w:sz="4" w:space="0"/>
            </w:tcBorders>
            <w:noWrap/>
            <w:vAlign w:val="center"/>
          </w:tcPr>
          <w:p w14:paraId="3AEFEDA3">
            <w:pPr>
              <w:snapToGrid w:val="0"/>
              <w:jc w:val="center"/>
              <w:rPr>
                <w:rFonts w:ascii="宋体" w:hAnsi="宋体"/>
                <w:color w:val="000000"/>
                <w:kern w:val="0"/>
                <w:highlight w:val="none"/>
              </w:rPr>
            </w:pPr>
            <w:r>
              <w:rPr>
                <w:rFonts w:hint="eastAsia" w:ascii="宋体" w:hAnsi="宋体"/>
                <w:color w:val="000000"/>
                <w:highlight w:val="none"/>
              </w:rPr>
              <w:t>未付款额的利率</w:t>
            </w:r>
          </w:p>
        </w:tc>
        <w:tc>
          <w:tcPr>
            <w:tcW w:w="6013" w:type="dxa"/>
            <w:tcBorders>
              <w:top w:val="single" w:color="auto" w:sz="4" w:space="0"/>
              <w:left w:val="single" w:color="auto" w:sz="4" w:space="0"/>
              <w:bottom w:val="single" w:color="auto" w:sz="4" w:space="0"/>
              <w:right w:val="single" w:color="auto" w:sz="4" w:space="0"/>
            </w:tcBorders>
            <w:noWrap/>
            <w:vAlign w:val="center"/>
          </w:tcPr>
          <w:p w14:paraId="06F010AD">
            <w:pPr>
              <w:adjustRightInd w:val="0"/>
              <w:snapToGrid w:val="0"/>
              <w:rPr>
                <w:rFonts w:ascii="宋体" w:hAnsi="宋体"/>
                <w:color w:val="000000"/>
                <w:highlight w:val="none"/>
              </w:rPr>
            </w:pPr>
            <w:r>
              <w:rPr>
                <w:rFonts w:hint="eastAsia" w:ascii="宋体" w:hAnsi="宋体"/>
                <w:color w:val="000000"/>
                <w:highlight w:val="none"/>
              </w:rPr>
              <w:t>无</w:t>
            </w:r>
          </w:p>
        </w:tc>
      </w:tr>
      <w:tr w14:paraId="19F2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F55E330">
            <w:pPr>
              <w:snapToGrid w:val="0"/>
              <w:jc w:val="center"/>
              <w:rPr>
                <w:rFonts w:ascii="宋体" w:hAnsi="宋体"/>
                <w:color w:val="000000"/>
                <w:highlight w:val="none"/>
              </w:rPr>
            </w:pPr>
            <w:r>
              <w:rPr>
                <w:rFonts w:ascii="宋体" w:hAnsi="宋体"/>
                <w:color w:val="000000"/>
                <w:highlight w:val="none"/>
              </w:rPr>
              <w:t>17.4.1</w:t>
            </w:r>
          </w:p>
        </w:tc>
        <w:tc>
          <w:tcPr>
            <w:tcW w:w="2216" w:type="dxa"/>
            <w:tcBorders>
              <w:top w:val="single" w:color="auto" w:sz="4" w:space="0"/>
              <w:left w:val="single" w:color="auto" w:sz="4" w:space="0"/>
              <w:bottom w:val="single" w:color="auto" w:sz="4" w:space="0"/>
              <w:right w:val="single" w:color="auto" w:sz="4" w:space="0"/>
            </w:tcBorders>
            <w:noWrap/>
            <w:vAlign w:val="center"/>
          </w:tcPr>
          <w:p w14:paraId="7BB2F438">
            <w:pPr>
              <w:snapToGrid w:val="0"/>
              <w:jc w:val="center"/>
              <w:rPr>
                <w:rFonts w:ascii="宋体" w:hAnsi="宋体"/>
                <w:color w:val="000000"/>
                <w:highlight w:val="none"/>
              </w:rPr>
            </w:pPr>
            <w:r>
              <w:rPr>
                <w:rFonts w:hint="eastAsia" w:ascii="宋体" w:hAnsi="宋体"/>
                <w:color w:val="000000"/>
                <w:highlight w:val="none"/>
              </w:rPr>
              <w:t>质量保证金缴纳</w:t>
            </w:r>
            <w:r>
              <w:rPr>
                <w:rFonts w:ascii="宋体" w:hAnsi="宋体"/>
                <w:color w:val="000000"/>
                <w:highlight w:val="none"/>
              </w:rPr>
              <w:t>办法及</w:t>
            </w:r>
            <w:r>
              <w:rPr>
                <w:rFonts w:hint="eastAsia" w:ascii="宋体" w:hAnsi="宋体"/>
                <w:color w:val="000000"/>
                <w:highlight w:val="none"/>
              </w:rPr>
              <w:t>限</w:t>
            </w:r>
            <w:r>
              <w:rPr>
                <w:rFonts w:ascii="宋体" w:hAnsi="宋体"/>
                <w:color w:val="000000"/>
                <w:highlight w:val="none"/>
              </w:rPr>
              <w:t>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4B39A877">
            <w:pPr>
              <w:pStyle w:val="20"/>
              <w:spacing w:after="0"/>
              <w:rPr>
                <w:highlight w:val="none"/>
              </w:rPr>
            </w:pPr>
            <w:r>
              <w:rPr>
                <w:rFonts w:hint="eastAsia"/>
                <w:highlight w:val="none"/>
              </w:rPr>
              <w:t>包含在未付的工程款中，金额为</w:t>
            </w:r>
            <w:r>
              <w:rPr>
                <w:highlight w:val="none"/>
              </w:rPr>
              <w:t>工程结算审定价的3%</w:t>
            </w:r>
            <w:r>
              <w:rPr>
                <w:rFonts w:hint="eastAsia"/>
                <w:highlight w:val="none"/>
              </w:rPr>
              <w:t>。</w:t>
            </w:r>
          </w:p>
        </w:tc>
      </w:tr>
      <w:tr w14:paraId="1E48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2337E08">
            <w:pPr>
              <w:snapToGrid w:val="0"/>
              <w:jc w:val="center"/>
              <w:rPr>
                <w:rFonts w:ascii="宋体" w:hAnsi="宋体"/>
                <w:color w:val="000000"/>
                <w:highlight w:val="none"/>
              </w:rPr>
            </w:pPr>
            <w:r>
              <w:rPr>
                <w:rFonts w:ascii="宋体" w:hAnsi="宋体"/>
                <w:color w:val="000000"/>
                <w:highlight w:val="none"/>
              </w:rPr>
              <w:t>17.4.2</w:t>
            </w:r>
          </w:p>
        </w:tc>
        <w:tc>
          <w:tcPr>
            <w:tcW w:w="2216" w:type="dxa"/>
            <w:tcBorders>
              <w:top w:val="single" w:color="auto" w:sz="4" w:space="0"/>
              <w:left w:val="single" w:color="auto" w:sz="4" w:space="0"/>
              <w:bottom w:val="single" w:color="auto" w:sz="4" w:space="0"/>
              <w:right w:val="single" w:color="auto" w:sz="4" w:space="0"/>
            </w:tcBorders>
            <w:noWrap/>
            <w:vAlign w:val="center"/>
          </w:tcPr>
          <w:p w14:paraId="27553CC3">
            <w:pPr>
              <w:snapToGrid w:val="0"/>
              <w:jc w:val="center"/>
              <w:rPr>
                <w:rFonts w:ascii="宋体" w:hAnsi="宋体"/>
                <w:color w:val="000000"/>
                <w:highlight w:val="none"/>
              </w:rPr>
            </w:pPr>
            <w:r>
              <w:rPr>
                <w:rFonts w:hint="eastAsia" w:ascii="宋体" w:hAnsi="宋体"/>
                <w:color w:val="000000"/>
                <w:highlight w:val="none"/>
              </w:rPr>
              <w:t>质量保证金</w:t>
            </w:r>
            <w:r>
              <w:rPr>
                <w:rFonts w:ascii="宋体" w:hAnsi="宋体"/>
                <w:color w:val="000000"/>
                <w:highlight w:val="none"/>
              </w:rPr>
              <w:t>退还给承包人的时间</w:t>
            </w:r>
          </w:p>
        </w:tc>
        <w:tc>
          <w:tcPr>
            <w:tcW w:w="6013" w:type="dxa"/>
            <w:tcBorders>
              <w:top w:val="single" w:color="auto" w:sz="4" w:space="0"/>
              <w:left w:val="single" w:color="auto" w:sz="4" w:space="0"/>
              <w:bottom w:val="single" w:color="auto" w:sz="4" w:space="0"/>
              <w:right w:val="single" w:color="auto" w:sz="4" w:space="0"/>
            </w:tcBorders>
            <w:noWrap/>
            <w:vAlign w:val="center"/>
          </w:tcPr>
          <w:p w14:paraId="419D51A2">
            <w:pPr>
              <w:snapToGrid w:val="0"/>
              <w:rPr>
                <w:rFonts w:ascii="宋体" w:hAnsi="宋体"/>
                <w:color w:val="000000"/>
                <w:highlight w:val="none"/>
              </w:rPr>
            </w:pPr>
            <w:r>
              <w:rPr>
                <w:rFonts w:hint="eastAsia"/>
                <w:highlight w:val="none"/>
              </w:rPr>
              <w:t>缺陷责任期满并发给终止证书后支付。</w:t>
            </w:r>
          </w:p>
        </w:tc>
      </w:tr>
      <w:tr w14:paraId="006F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04168D04">
            <w:pPr>
              <w:snapToGrid w:val="0"/>
              <w:jc w:val="center"/>
              <w:rPr>
                <w:rFonts w:ascii="宋体" w:hAnsi="宋体"/>
                <w:color w:val="000000"/>
                <w:highlight w:val="none"/>
              </w:rPr>
            </w:pPr>
            <w:r>
              <w:rPr>
                <w:rFonts w:ascii="宋体" w:hAnsi="宋体"/>
                <w:color w:val="000000"/>
                <w:highlight w:val="none"/>
              </w:rPr>
              <w:t>17.5.2</w:t>
            </w:r>
          </w:p>
        </w:tc>
        <w:tc>
          <w:tcPr>
            <w:tcW w:w="2216" w:type="dxa"/>
            <w:tcBorders>
              <w:top w:val="single" w:color="auto" w:sz="4" w:space="0"/>
              <w:left w:val="single" w:color="auto" w:sz="4" w:space="0"/>
              <w:bottom w:val="single" w:color="auto" w:sz="4" w:space="0"/>
              <w:right w:val="single" w:color="auto" w:sz="4" w:space="0"/>
            </w:tcBorders>
            <w:noWrap/>
            <w:vAlign w:val="center"/>
          </w:tcPr>
          <w:p w14:paraId="595A790D">
            <w:pPr>
              <w:snapToGrid w:val="0"/>
              <w:jc w:val="center"/>
              <w:rPr>
                <w:rFonts w:ascii="宋体" w:hAnsi="宋体"/>
                <w:color w:val="000000"/>
                <w:highlight w:val="none"/>
              </w:rPr>
            </w:pPr>
            <w:r>
              <w:rPr>
                <w:rFonts w:ascii="宋体" w:hAnsi="宋体"/>
                <w:color w:val="000000"/>
                <w:highlight w:val="none"/>
              </w:rPr>
              <w:t>审签</w:t>
            </w:r>
            <w:r>
              <w:rPr>
                <w:rFonts w:hint="eastAsia" w:ascii="宋体" w:hAnsi="宋体"/>
                <w:color w:val="000000"/>
                <w:highlight w:val="none"/>
              </w:rPr>
              <w:t>竣工</w:t>
            </w:r>
            <w:r>
              <w:rPr>
                <w:rFonts w:ascii="宋体" w:hAnsi="宋体"/>
                <w:color w:val="000000"/>
                <w:highlight w:val="none"/>
              </w:rPr>
              <w:t>付款证书支付给承包人的期限</w:t>
            </w:r>
          </w:p>
        </w:tc>
        <w:tc>
          <w:tcPr>
            <w:tcW w:w="6013" w:type="dxa"/>
            <w:tcBorders>
              <w:top w:val="single" w:color="auto" w:sz="4" w:space="0"/>
              <w:left w:val="single" w:color="auto" w:sz="4" w:space="0"/>
              <w:bottom w:val="single" w:color="auto" w:sz="4" w:space="0"/>
              <w:right w:val="single" w:color="auto" w:sz="4" w:space="0"/>
            </w:tcBorders>
            <w:noWrap/>
            <w:vAlign w:val="center"/>
          </w:tcPr>
          <w:p w14:paraId="03B532EC">
            <w:pPr>
              <w:snapToGrid w:val="0"/>
              <w:rPr>
                <w:rFonts w:ascii="宋体" w:hAnsi="宋体"/>
                <w:color w:val="000000"/>
                <w:highlight w:val="none"/>
              </w:rPr>
            </w:pPr>
            <w:r>
              <w:rPr>
                <w:rFonts w:hint="eastAsia" w:ascii="宋体" w:hAnsi="宋体"/>
                <w:color w:val="000000"/>
                <w:highlight w:val="none"/>
              </w:rPr>
              <w:t>达到交通运输部发布的《水运工程质量检验标准》合格等级，且达到江苏省市场监督管理局发布的《内河航道维护技术及质量评定规范》优良等级。承包人提交全部竣工资料且且工程结算审核报告经发包人确认后。</w:t>
            </w:r>
          </w:p>
        </w:tc>
      </w:tr>
      <w:tr w14:paraId="6DAEB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4F364C45">
            <w:pPr>
              <w:snapToGrid w:val="0"/>
              <w:jc w:val="center"/>
              <w:rPr>
                <w:rFonts w:ascii="宋体" w:hAnsi="宋体"/>
                <w:color w:val="000000"/>
                <w:highlight w:val="none"/>
              </w:rPr>
            </w:pPr>
            <w:r>
              <w:rPr>
                <w:rFonts w:hint="eastAsia" w:ascii="宋体" w:hAnsi="宋体"/>
                <w:color w:val="000000"/>
                <w:highlight w:val="none"/>
              </w:rPr>
              <w:t>19.7</w:t>
            </w:r>
          </w:p>
        </w:tc>
        <w:tc>
          <w:tcPr>
            <w:tcW w:w="2216" w:type="dxa"/>
            <w:tcBorders>
              <w:top w:val="single" w:color="auto" w:sz="4" w:space="0"/>
              <w:left w:val="single" w:color="auto" w:sz="4" w:space="0"/>
              <w:bottom w:val="single" w:color="auto" w:sz="4" w:space="0"/>
              <w:right w:val="single" w:color="auto" w:sz="4" w:space="0"/>
            </w:tcBorders>
            <w:noWrap/>
            <w:vAlign w:val="center"/>
          </w:tcPr>
          <w:p w14:paraId="5E3F733C">
            <w:pPr>
              <w:snapToGrid w:val="0"/>
              <w:jc w:val="center"/>
              <w:rPr>
                <w:rFonts w:ascii="宋体" w:hAnsi="宋体"/>
                <w:color w:val="000000"/>
                <w:highlight w:val="none"/>
              </w:rPr>
            </w:pPr>
            <w:r>
              <w:rPr>
                <w:rFonts w:hint="eastAsia" w:ascii="宋体" w:hAnsi="宋体"/>
                <w:color w:val="000000"/>
                <w:highlight w:val="none"/>
              </w:rPr>
              <w:t>工程质量保修期限</w:t>
            </w:r>
          </w:p>
        </w:tc>
        <w:tc>
          <w:tcPr>
            <w:tcW w:w="6013" w:type="dxa"/>
            <w:tcBorders>
              <w:top w:val="single" w:color="auto" w:sz="4" w:space="0"/>
              <w:left w:val="single" w:color="auto" w:sz="4" w:space="0"/>
              <w:bottom w:val="single" w:color="auto" w:sz="4" w:space="0"/>
              <w:right w:val="single" w:color="auto" w:sz="4" w:space="0"/>
            </w:tcBorders>
            <w:noWrap/>
            <w:vAlign w:val="center"/>
          </w:tcPr>
          <w:p w14:paraId="479EF3B4">
            <w:pPr>
              <w:snapToGrid w:val="0"/>
              <w:rPr>
                <w:rFonts w:ascii="宋体" w:hAnsi="宋体"/>
                <w:color w:val="000000"/>
                <w:highlight w:val="none"/>
              </w:rPr>
            </w:pPr>
            <w:r>
              <w:rPr>
                <w:rFonts w:hint="eastAsia"/>
                <w:highlight w:val="none"/>
              </w:rPr>
              <w:t>12个月</w:t>
            </w:r>
          </w:p>
        </w:tc>
      </w:tr>
      <w:tr w14:paraId="288E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3AF1A81">
            <w:pPr>
              <w:snapToGrid w:val="0"/>
              <w:jc w:val="center"/>
              <w:rPr>
                <w:rFonts w:ascii="宋体" w:hAnsi="宋体"/>
                <w:color w:val="000000"/>
                <w:highlight w:val="none"/>
              </w:rPr>
            </w:pPr>
            <w:r>
              <w:rPr>
                <w:rFonts w:hint="eastAsia" w:ascii="宋体" w:hAnsi="宋体"/>
                <w:color w:val="000000"/>
                <w:highlight w:val="none"/>
              </w:rPr>
              <w:t>20.4</w:t>
            </w:r>
          </w:p>
        </w:tc>
        <w:tc>
          <w:tcPr>
            <w:tcW w:w="2216" w:type="dxa"/>
            <w:tcBorders>
              <w:top w:val="single" w:color="auto" w:sz="4" w:space="0"/>
              <w:left w:val="single" w:color="auto" w:sz="4" w:space="0"/>
              <w:bottom w:val="single" w:color="auto" w:sz="4" w:space="0"/>
              <w:right w:val="single" w:color="auto" w:sz="4" w:space="0"/>
            </w:tcBorders>
            <w:noWrap/>
            <w:vAlign w:val="center"/>
          </w:tcPr>
          <w:p w14:paraId="6BF10AB3">
            <w:pPr>
              <w:snapToGrid w:val="0"/>
              <w:jc w:val="center"/>
              <w:rPr>
                <w:rFonts w:ascii="宋体" w:hAnsi="宋体"/>
                <w:color w:val="000000"/>
                <w:highlight w:val="none"/>
              </w:rPr>
            </w:pPr>
            <w:r>
              <w:rPr>
                <w:rFonts w:hint="eastAsia" w:ascii="宋体" w:hAnsi="宋体"/>
                <w:color w:val="000000"/>
                <w:highlight w:val="none"/>
              </w:rPr>
              <w:t>第三者责任险的保险金额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43003D7C">
            <w:pPr>
              <w:pStyle w:val="17"/>
              <w:rPr>
                <w:color w:val="000000"/>
                <w:highlight w:val="none"/>
              </w:rPr>
            </w:pPr>
            <w:r>
              <w:rPr>
                <w:rFonts w:hint="eastAsia" w:ascii="宋体" w:hAnsi="宋体"/>
                <w:color w:val="000000"/>
                <w:highlight w:val="none"/>
              </w:rPr>
              <w:t>第三者责任险</w:t>
            </w:r>
            <w:r>
              <w:rPr>
                <w:rFonts w:hint="eastAsia"/>
                <w:color w:val="000000"/>
                <w:highlight w:val="none"/>
              </w:rPr>
              <w:t>保额不低于人民币</w:t>
            </w:r>
            <w:r>
              <w:rPr>
                <w:rFonts w:hint="eastAsia"/>
                <w:color w:val="000000"/>
                <w:highlight w:val="none"/>
                <w:lang w:val="en-US" w:eastAsia="zh-CN"/>
              </w:rPr>
              <w:t>50</w:t>
            </w:r>
            <w:r>
              <w:rPr>
                <w:rFonts w:hint="eastAsia"/>
                <w:color w:val="000000"/>
                <w:highlight w:val="none"/>
              </w:rPr>
              <w:t>万元（包括不计免赔），由承包人以发包人与承包人共同的名义投保</w:t>
            </w:r>
          </w:p>
        </w:tc>
      </w:tr>
      <w:tr w14:paraId="5EA6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B25223A">
            <w:pPr>
              <w:snapToGrid w:val="0"/>
              <w:jc w:val="center"/>
              <w:rPr>
                <w:rFonts w:ascii="宋体" w:hAnsi="宋体"/>
                <w:color w:val="000000"/>
                <w:highlight w:val="none"/>
              </w:rPr>
            </w:pPr>
            <w:r>
              <w:rPr>
                <w:rFonts w:hint="eastAsia" w:ascii="宋体" w:hAnsi="宋体"/>
                <w:color w:val="000000"/>
                <w:highlight w:val="none"/>
              </w:rPr>
              <w:t>24.1</w:t>
            </w:r>
          </w:p>
        </w:tc>
        <w:tc>
          <w:tcPr>
            <w:tcW w:w="2216" w:type="dxa"/>
            <w:tcBorders>
              <w:top w:val="single" w:color="auto" w:sz="4" w:space="0"/>
              <w:left w:val="single" w:color="auto" w:sz="4" w:space="0"/>
              <w:bottom w:val="single" w:color="auto" w:sz="4" w:space="0"/>
              <w:right w:val="single" w:color="auto" w:sz="4" w:space="0"/>
            </w:tcBorders>
            <w:noWrap/>
            <w:vAlign w:val="center"/>
          </w:tcPr>
          <w:p w14:paraId="7AD3641E">
            <w:pPr>
              <w:snapToGrid w:val="0"/>
              <w:jc w:val="center"/>
              <w:rPr>
                <w:rFonts w:ascii="宋体" w:hAnsi="宋体"/>
                <w:color w:val="000000"/>
                <w:highlight w:val="none"/>
              </w:rPr>
            </w:pPr>
            <w:r>
              <w:rPr>
                <w:rFonts w:hint="eastAsia" w:ascii="宋体" w:hAnsi="宋体"/>
                <w:color w:val="000000"/>
                <w:highlight w:val="none"/>
              </w:rPr>
              <w:t>诉讼机构</w:t>
            </w:r>
          </w:p>
        </w:tc>
        <w:tc>
          <w:tcPr>
            <w:tcW w:w="6013" w:type="dxa"/>
            <w:tcBorders>
              <w:top w:val="single" w:color="auto" w:sz="4" w:space="0"/>
              <w:left w:val="single" w:color="auto" w:sz="4" w:space="0"/>
              <w:bottom w:val="single" w:color="auto" w:sz="4" w:space="0"/>
              <w:right w:val="single" w:color="auto" w:sz="4" w:space="0"/>
            </w:tcBorders>
            <w:noWrap/>
            <w:vAlign w:val="center"/>
          </w:tcPr>
          <w:p w14:paraId="220FC1A9">
            <w:pPr>
              <w:snapToGrid w:val="0"/>
              <w:rPr>
                <w:rFonts w:ascii="宋体" w:hAnsi="宋体"/>
                <w:color w:val="000000"/>
                <w:highlight w:val="none"/>
              </w:rPr>
            </w:pPr>
            <w:r>
              <w:rPr>
                <w:rFonts w:hint="eastAsia"/>
                <w:highlight w:val="none"/>
              </w:rPr>
              <w:t>南通市中级人民法院</w:t>
            </w:r>
          </w:p>
        </w:tc>
      </w:tr>
    </w:tbl>
    <w:p w14:paraId="043F388C">
      <w:pPr>
        <w:spacing w:line="400" w:lineRule="exact"/>
        <w:jc w:val="center"/>
        <w:rPr>
          <w:rFonts w:ascii="宋体" w:hAnsi="宋体"/>
          <w:b/>
          <w:bCs/>
          <w:color w:val="000000"/>
          <w:kern w:val="0"/>
          <w:sz w:val="30"/>
          <w:highlight w:val="none"/>
        </w:rPr>
      </w:pPr>
      <w:r>
        <w:rPr>
          <w:rFonts w:ascii="宋体" w:hAnsi="宋体"/>
          <w:color w:val="000000"/>
          <w:highlight w:val="none"/>
        </w:rPr>
        <w:br w:type="page"/>
      </w:r>
      <w:r>
        <w:rPr>
          <w:rFonts w:hint="eastAsia" w:ascii="宋体" w:hAnsi="宋体"/>
          <w:b/>
          <w:bCs/>
          <w:color w:val="000000"/>
          <w:kern w:val="0"/>
          <w:sz w:val="30"/>
          <w:highlight w:val="none"/>
        </w:rPr>
        <w:t>专用合同条款</w:t>
      </w:r>
    </w:p>
    <w:p w14:paraId="4DE88339">
      <w:pPr>
        <w:keepNext/>
        <w:tabs>
          <w:tab w:val="left" w:pos="750"/>
        </w:tabs>
        <w:adjustRightInd w:val="0"/>
        <w:spacing w:line="360" w:lineRule="auto"/>
        <w:textAlignment w:val="baseline"/>
        <w:outlineLvl w:val="5"/>
        <w:rPr>
          <w:rFonts w:ascii="宋体" w:hAnsi="宋体" w:cs="宋体"/>
          <w:b/>
          <w:color w:val="000000"/>
          <w:highlight w:val="none"/>
        </w:rPr>
      </w:pPr>
      <w:r>
        <w:rPr>
          <w:rFonts w:hint="eastAsia" w:ascii="宋体" w:hAnsi="宋体" w:cs="宋体"/>
          <w:b/>
          <w:bCs/>
          <w:color w:val="000000"/>
          <w:highlight w:val="none"/>
        </w:rPr>
        <w:t>1.</w:t>
      </w:r>
      <w:r>
        <w:rPr>
          <w:rFonts w:hint="eastAsia" w:ascii="宋体" w:hAnsi="宋体" w:cs="宋体"/>
          <w:b/>
          <w:color w:val="000000"/>
          <w:highlight w:val="none"/>
        </w:rPr>
        <w:t xml:space="preserve"> 一般约定</w:t>
      </w:r>
    </w:p>
    <w:p w14:paraId="2D9032D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1.1</w:t>
      </w:r>
      <w:r>
        <w:rPr>
          <w:rFonts w:hint="eastAsia" w:ascii="宋体" w:hAnsi="宋体" w:cs="宋体"/>
          <w:b/>
          <w:color w:val="000000"/>
          <w:highlight w:val="none"/>
        </w:rPr>
        <w:t xml:space="preserve"> 词语定义</w:t>
      </w:r>
    </w:p>
    <w:p w14:paraId="7B509EA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1.1.1 合同</w:t>
      </w:r>
    </w:p>
    <w:p w14:paraId="6D91B11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1.1.1.8 已标价工程量清单：指投标文件中已标价、经算术性修正无误且承包人已经确认的最终的工程量清单。</w:t>
      </w:r>
    </w:p>
    <w:p w14:paraId="5BA05B0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本项增加第1.1.1.10目：</w:t>
      </w:r>
    </w:p>
    <w:p w14:paraId="32B939B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1.1.1.10补遗书：指发出招标文件之后由发包人向已取得招标文件的投标人发出的、编号的补充或修改书，是招标文件的组成部分。</w:t>
      </w:r>
    </w:p>
    <w:p w14:paraId="488C429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1.1.2 合同当事人和人员</w:t>
      </w:r>
    </w:p>
    <w:p w14:paraId="3236101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1.1.2.2 发包人：南通市港航事业发展中心。</w:t>
      </w:r>
    </w:p>
    <w:p w14:paraId="7452554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1.1.2.6 监理人：指发包人为实施本合同招标确定的承担本合同监理工作的单位。</w:t>
      </w:r>
    </w:p>
    <w:p w14:paraId="7E6FF70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1.1.3 工程和设备</w:t>
      </w:r>
    </w:p>
    <w:p w14:paraId="04A0F42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1.1.3.4 单位工程：见本工程招标范围内的工程。</w:t>
      </w:r>
    </w:p>
    <w:p w14:paraId="73F8034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1.1.3.10 永久占地：指</w:t>
      </w:r>
      <w:r>
        <w:rPr>
          <w:rFonts w:hint="eastAsia" w:ascii="宋体" w:hAnsi="宋体" w:cs="宋体"/>
          <w:color w:val="000000"/>
          <w:kern w:val="0"/>
          <w:highlight w:val="none"/>
        </w:rPr>
        <w:t>为实施本工程需永久占用</w:t>
      </w:r>
      <w:r>
        <w:rPr>
          <w:rFonts w:hint="eastAsia" w:ascii="宋体" w:hAnsi="宋体" w:cs="宋体"/>
          <w:color w:val="000000"/>
          <w:highlight w:val="none"/>
        </w:rPr>
        <w:t>的土地。</w:t>
      </w:r>
    </w:p>
    <w:p w14:paraId="2FED9C4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1.1.3.11 临时占地：指实施本工程需临时占用的土地。本项目</w:t>
      </w:r>
      <w:r>
        <w:rPr>
          <w:rFonts w:hint="eastAsia" w:ascii="宋体" w:hAnsi="宋体" w:cs="宋体"/>
          <w:color w:val="000000"/>
          <w:kern w:val="0"/>
          <w:highlight w:val="none"/>
        </w:rPr>
        <w:t>施工场地（包含满足工程主体范围和有效的施工作业面位置的施工水域或场地，以及临时占地）涉及租用与复耕、补偿等均由承包人自行落实解决</w:t>
      </w:r>
      <w:r>
        <w:rPr>
          <w:rFonts w:hint="eastAsia" w:ascii="宋体" w:hAnsi="宋体" w:cs="宋体"/>
          <w:color w:val="000000"/>
          <w:highlight w:val="none"/>
        </w:rPr>
        <w:t>，办理有关手续并承担费用</w:t>
      </w:r>
      <w:r>
        <w:rPr>
          <w:rFonts w:hint="eastAsia" w:ascii="宋体" w:hAnsi="宋体" w:cs="宋体"/>
          <w:color w:val="000000"/>
          <w:kern w:val="0"/>
          <w:highlight w:val="none"/>
        </w:rPr>
        <w:t>，一切费用均包含于工程量清单施工场地及绿化补偿细目中。</w:t>
      </w:r>
    </w:p>
    <w:p w14:paraId="53B9AE3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1.1.4 日期</w:t>
      </w:r>
    </w:p>
    <w:p w14:paraId="1A62AAB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1.1.4.3工期：从开工之日起至交工证书上写明的交工日期止</w:t>
      </w:r>
      <w:r>
        <w:rPr>
          <w:rFonts w:hint="eastAsia" w:ascii="宋体" w:hAnsi="宋体" w:cs="宋体"/>
          <w:color w:val="000000"/>
          <w:kern w:val="0"/>
          <w:highlight w:val="none"/>
        </w:rPr>
        <w:t>；</w:t>
      </w:r>
    </w:p>
    <w:p w14:paraId="396C73A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阶段性工期：指单位工程中某一部分工程从开工至完成的时间。</w:t>
      </w:r>
    </w:p>
    <w:p w14:paraId="5C9D2E5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1.1.4.5 缺陷责任期：12个月</w:t>
      </w:r>
      <w:r>
        <w:rPr>
          <w:rFonts w:hint="eastAsia" w:ascii="宋体" w:hAnsi="宋体"/>
          <w:szCs w:val="24"/>
          <w:highlight w:val="none"/>
        </w:rPr>
        <w:t>（自通过</w:t>
      </w:r>
      <w:r>
        <w:rPr>
          <w:rFonts w:hint="eastAsia" w:ascii="宋体" w:hAnsi="宋体"/>
          <w:szCs w:val="24"/>
          <w:highlight w:val="none"/>
          <w:lang w:val="en-US" w:eastAsia="zh-CN"/>
        </w:rPr>
        <w:t>交（</w:t>
      </w:r>
      <w:r>
        <w:rPr>
          <w:rFonts w:hint="eastAsia" w:ascii="宋体" w:hAnsi="宋体"/>
          <w:szCs w:val="24"/>
          <w:highlight w:val="none"/>
        </w:rPr>
        <w:t>竣</w:t>
      </w:r>
      <w:r>
        <w:rPr>
          <w:rFonts w:hint="eastAsia" w:ascii="宋体" w:hAnsi="宋体"/>
          <w:szCs w:val="24"/>
          <w:highlight w:val="none"/>
          <w:lang w:val="en-US" w:eastAsia="zh-CN"/>
        </w:rPr>
        <w:t>）</w:t>
      </w:r>
      <w:r>
        <w:rPr>
          <w:rFonts w:hint="eastAsia" w:ascii="宋体" w:hAnsi="宋体"/>
          <w:szCs w:val="24"/>
          <w:highlight w:val="none"/>
        </w:rPr>
        <w:t>工验收之日起计算）</w:t>
      </w:r>
      <w:r>
        <w:rPr>
          <w:rFonts w:hint="eastAsia" w:ascii="宋体" w:hAnsi="宋体" w:cs="宋体"/>
          <w:color w:val="000000"/>
          <w:highlight w:val="none"/>
        </w:rPr>
        <w:t>。</w:t>
      </w:r>
    </w:p>
    <w:p w14:paraId="117D4753">
      <w:pPr>
        <w:pageBreakBefore w:val="0"/>
        <w:kinsoku/>
        <w:wordWrap/>
        <w:overflowPunct/>
        <w:topLinePunct w:val="0"/>
        <w:bidi w:val="0"/>
        <w:adjustRightInd w:val="0"/>
        <w:snapToGrid w:val="0"/>
        <w:spacing w:line="360" w:lineRule="auto"/>
        <w:ind w:firstLine="422" w:firstLineChars="200"/>
        <w:rPr>
          <w:rFonts w:ascii="宋体" w:hAnsi="宋体" w:cs="宋体"/>
          <w:b/>
          <w:color w:val="000000"/>
          <w:kern w:val="0"/>
          <w:highlight w:val="none"/>
        </w:rPr>
      </w:pPr>
      <w:r>
        <w:rPr>
          <w:rFonts w:hint="eastAsia" w:ascii="宋体" w:hAnsi="宋体" w:cs="宋体"/>
          <w:b/>
          <w:color w:val="000000"/>
          <w:kern w:val="0"/>
          <w:highlight w:val="none"/>
        </w:rPr>
        <w:t>增加：</w:t>
      </w:r>
    </w:p>
    <w:p w14:paraId="174F62E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“1.1.5.8货币：本标段以人民币进行支付和结算。”</w:t>
      </w:r>
    </w:p>
    <w:p w14:paraId="02753F4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1.1.6.2 转包：凡承包人违反法律和不履行合同规定的责任和义务，将中标工程全部委托，或以专业分包的名义将中标工程肢解后全部委托给其它施工企业施工的行为。</w:t>
      </w:r>
    </w:p>
    <w:p w14:paraId="65EEBB2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1.4 </w:t>
      </w:r>
      <w:r>
        <w:rPr>
          <w:rFonts w:hint="eastAsia" w:ascii="宋体" w:hAnsi="宋体" w:cs="宋体"/>
          <w:b/>
          <w:color w:val="000000"/>
          <w:highlight w:val="none"/>
        </w:rPr>
        <w:t>合同文件的优先顺序</w:t>
      </w:r>
    </w:p>
    <w:p w14:paraId="73473FC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通用条款本款修改为：</w:t>
      </w:r>
    </w:p>
    <w:p w14:paraId="17194E9B">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(1)合同协议书及各种合同附件(含评标期间和合同谈判过程中的澄清文件和补充资料)；</w:t>
      </w:r>
    </w:p>
    <w:p w14:paraId="509A2F9D">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(2)中标通知书；</w:t>
      </w:r>
    </w:p>
    <w:p w14:paraId="55C9E8B1">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(3)招标补遗书；</w:t>
      </w:r>
    </w:p>
    <w:p w14:paraId="7E71F878">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(4)投标函及投标函附录；</w:t>
      </w:r>
    </w:p>
    <w:p w14:paraId="44847714">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(5)专用合同条款；</w:t>
      </w:r>
    </w:p>
    <w:p w14:paraId="6751F62D">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(6)通用合同条款；</w:t>
      </w:r>
    </w:p>
    <w:p w14:paraId="14985DBF">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(7)招标工程量清单（含工程量计价规则）</w:t>
      </w:r>
    </w:p>
    <w:p w14:paraId="330BB38A">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 xml:space="preserve">(8)技术标准和要求； </w:t>
      </w:r>
    </w:p>
    <w:p w14:paraId="11E9650B">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(9)图纸；</w:t>
      </w:r>
    </w:p>
    <w:p w14:paraId="5D3176B0">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(10)已标价工程量清单；</w:t>
      </w:r>
    </w:p>
    <w:p w14:paraId="66E05A8F">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(11)投标文件中有关人员、设备投入的承诺和施工组织设计；</w:t>
      </w:r>
    </w:p>
    <w:p w14:paraId="16FDAA82">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kern w:val="0"/>
          <w:highlight w:val="none"/>
        </w:rPr>
      </w:pPr>
      <w:r>
        <w:rPr>
          <w:rFonts w:hint="eastAsia" w:ascii="宋体" w:hAnsi="宋体" w:cs="宋体"/>
          <w:color w:val="000000"/>
          <w:kern w:val="0"/>
          <w:highlight w:val="none"/>
        </w:rPr>
        <w:t>(12)构成本合同组成部分的其他文件。</w:t>
      </w:r>
    </w:p>
    <w:p w14:paraId="7AE5A699">
      <w:pPr>
        <w:pageBreakBefore w:val="0"/>
        <w:kinsoku/>
        <w:wordWrap/>
        <w:overflowPunct/>
        <w:topLinePunct w:val="0"/>
        <w:bidi w:val="0"/>
        <w:adjustRightInd w:val="0"/>
        <w:snapToGrid w:val="0"/>
        <w:spacing w:line="360" w:lineRule="auto"/>
        <w:ind w:firstLine="422" w:firstLineChars="200"/>
        <w:rPr>
          <w:rFonts w:ascii="宋体" w:hAnsi="宋体" w:cs="宋体"/>
          <w:b/>
          <w:color w:val="000000"/>
          <w:highlight w:val="none"/>
        </w:rPr>
      </w:pPr>
      <w:r>
        <w:rPr>
          <w:rFonts w:hint="eastAsia" w:ascii="宋体" w:hAnsi="宋体" w:cs="宋体"/>
          <w:b/>
          <w:color w:val="000000"/>
          <w:highlight w:val="none"/>
        </w:rPr>
        <w:t>1.5 合同协议书</w:t>
      </w:r>
    </w:p>
    <w:p w14:paraId="157C28F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本款补充：</w:t>
      </w:r>
    </w:p>
    <w:p w14:paraId="7D666BB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制备本合同文件的费用由发包人承担。在合同协议书签订并生效前，投标函和中标通知书将约束双方。</w:t>
      </w:r>
    </w:p>
    <w:p w14:paraId="594E87A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1.6 </w:t>
      </w:r>
      <w:r>
        <w:rPr>
          <w:rFonts w:hint="eastAsia" w:ascii="宋体" w:hAnsi="宋体" w:cs="宋体"/>
          <w:b/>
          <w:color w:val="000000"/>
          <w:highlight w:val="none"/>
        </w:rPr>
        <w:t>图纸</w:t>
      </w:r>
    </w:p>
    <w:p w14:paraId="5758D3C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1.6.1图纸的提供</w:t>
      </w:r>
    </w:p>
    <w:p w14:paraId="74535E2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通用条款本款后增加1.6.6款：</w:t>
      </w:r>
    </w:p>
    <w:p w14:paraId="3322551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发包人提供图纸的数量：2套；</w:t>
      </w:r>
    </w:p>
    <w:p w14:paraId="4A9FBE7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发包人提供图纸的期限：合同签订之日起7日内。</w:t>
      </w:r>
    </w:p>
    <w:p w14:paraId="36D5BB8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1.6.2 承包人提供的图纸</w:t>
      </w:r>
    </w:p>
    <w:p w14:paraId="5B6D6AB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本项细化为：</w:t>
      </w:r>
    </w:p>
    <w:p w14:paraId="5A246DB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为使1.6.1款所述的施工图纸适合于经施工测量后的纵、横断面或现场具体地形或尺寸与位置变化而引起局部变更，或因合同要求与施工需要，承包人应免费向监理人提交该部分工程的施工图纸3份，并附必要的计算书、技术资料、或施工工艺图各2份供监理人批准。此类图纸应按监理人规定的格式和图幅绘制。监理人在收到承包人绘制的上述工程、工艺图、计算书和有关技术资料后14天内应予以批准或提出修改要求，承包人应按监理人提出的要求做出修改，重新向监理人提交，监理人应在7天内批准或提出进一步的修改意见。</w:t>
      </w:r>
    </w:p>
    <w:p w14:paraId="00DFFB4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1.6.3 图纸的修改</w:t>
      </w:r>
    </w:p>
    <w:p w14:paraId="69F5166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修改图纸签发期限：该工程或工程相应部位施工前7天。</w:t>
      </w:r>
    </w:p>
    <w:p w14:paraId="22D8698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1.6.4 图纸的错误</w:t>
      </w:r>
    </w:p>
    <w:p w14:paraId="4DA7D10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本项细化为：</w:t>
      </w:r>
    </w:p>
    <w:p w14:paraId="257EC7A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招标人视投标人为有经验的承包人，因此承包人必须及时发现以下图纸方面的错误。当承包人在查阅合同文件或在合同工程实施过程中，发现有关的工程设计、技术标准和要求、图纸或其他资料中的任何错误、遗漏或缺陷后，应及时通知监理人。监理人接到该通知后，应立即就此做出决定、并通知承包人和发包人。</w:t>
      </w:r>
    </w:p>
    <w:p w14:paraId="5F7F7D7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增加1.6.7款：</w:t>
      </w:r>
    </w:p>
    <w:p w14:paraId="756FEBC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1.发包人提供的图纸中的工程数量表内数值，仅供施工作业时参考，并不代表支付项目，因此不能作为计量与支付的依据。</w:t>
      </w:r>
    </w:p>
    <w:p w14:paraId="7367D6A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2.承包人施工时应核对图中标注的构造物尺寸和标高。发现错误时，应立即和监理人联系，按照监理人批准的尺寸及标高实施。</w:t>
      </w:r>
    </w:p>
    <w:p w14:paraId="323B288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合同授予后，监理人（发包人）可提供进一步的详细图纸或补充图纸，供完成施工工艺图参考。但这并不免除承包人完成施工工艺图和对施工质量负责的任何义务。承包人应向监理人提出图纸使用计划，以保证施工进度不被延误。</w:t>
      </w:r>
    </w:p>
    <w:p w14:paraId="22249A6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1.7 联络</w:t>
      </w:r>
    </w:p>
    <w:p w14:paraId="7CA96EF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1.7.2来往函件送达的期限：7日内。</w:t>
      </w:r>
    </w:p>
    <w:p w14:paraId="14144F2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1.9 严禁贿赂</w:t>
      </w:r>
    </w:p>
    <w:p w14:paraId="1FFC541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本款补充：</w:t>
      </w:r>
    </w:p>
    <w:p w14:paraId="4B268C6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在合同执行过程中，发包人和承包人应严格履行《廉洁合同》约定的双方在廉政建设方面的权利和义务以及应承担的违约责任。承包人如果用行贿、送礼或其他不正当手段企图影响或已经影响了发包人或监理人员行为和(或)欲获得或已获得超出合同规定以外的额外费用，则发包人除应按有关法纪严肃处理当事人(含发包人人员和监理人员)外，因承包人的上述行为造成的工程损害、发包人的经济损失等，承包人应负一切责任，并予赔偿。情节严重者，发包人有权终止承包人在本合同项下的承包。发包人将廉政情况上报交通工程建设主管部门，按照《江苏省交通厅关于限制违反廉政合同的投标人进入交通工程建设市场的若干规定》的标准及相应处罚的规定给予承包人信用等级降低或一至三年内不得进入本省交通建设市场的处罚。</w:t>
      </w:r>
    </w:p>
    <w:p w14:paraId="1799A680">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2. </w:t>
      </w:r>
      <w:r>
        <w:rPr>
          <w:rFonts w:hint="eastAsia" w:ascii="宋体" w:hAnsi="宋体" w:cs="宋体"/>
          <w:b/>
          <w:color w:val="000000"/>
          <w:highlight w:val="none"/>
        </w:rPr>
        <w:t>发包人义务</w:t>
      </w:r>
    </w:p>
    <w:p w14:paraId="48BF9A3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bCs/>
          <w:color w:val="000000"/>
          <w:highlight w:val="none"/>
        </w:rPr>
        <w:t xml:space="preserve">2.3 </w:t>
      </w:r>
      <w:r>
        <w:rPr>
          <w:rFonts w:hint="eastAsia" w:ascii="宋体" w:hAnsi="宋体" w:cs="宋体"/>
          <w:b/>
          <w:color w:val="000000"/>
          <w:highlight w:val="none"/>
        </w:rPr>
        <w:t>及时提供施工场地</w:t>
      </w:r>
    </w:p>
    <w:p w14:paraId="323347A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本款调整为：</w:t>
      </w:r>
    </w:p>
    <w:p w14:paraId="6F4978F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2.3.1本项目施工场地由承包人根据其施工组织计划自行落实，发包人提供协助。投标人应进行必要的现场踏勘，了解项目实施地的施工场地及周边地貌情况，施工场地（包含满足工程主体范围和有效的施工作业面位置的施工水域或场地，以及陆上临时占地、弃土区用地）的使用费用、弃土防尘环境保护费用及施工场地中的绿化、管线等其他设施的迁移、复原以及绿化养护等的一切费用均包含在相关子目报价中，不另行计量支付。</w:t>
      </w:r>
    </w:p>
    <w:p w14:paraId="031BF6B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2.3.2施工道路、施工用水、用电、通讯等由承包人自行落实解决。</w:t>
      </w:r>
    </w:p>
    <w:p w14:paraId="6F726F9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2.5 组织设计交底</w:t>
      </w:r>
    </w:p>
    <w:p w14:paraId="243F94D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增加：向承包人交验测量放样水准点与坐标控制点。</w:t>
      </w:r>
    </w:p>
    <w:p w14:paraId="35596BF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2.7 </w:t>
      </w:r>
      <w:r>
        <w:rPr>
          <w:rFonts w:hint="eastAsia" w:ascii="宋体" w:hAnsi="宋体" w:cs="宋体"/>
          <w:b/>
          <w:color w:val="000000"/>
          <w:highlight w:val="none"/>
        </w:rPr>
        <w:t>及时组织交工验收</w:t>
      </w:r>
    </w:p>
    <w:p w14:paraId="2895569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发包人组织交工验收的期限：承包人可就此向监理人提出交工验收申请报告后的56天。</w:t>
      </w:r>
    </w:p>
    <w:p w14:paraId="32B8F391">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3. </w:t>
      </w:r>
      <w:r>
        <w:rPr>
          <w:rFonts w:hint="eastAsia" w:ascii="宋体" w:hAnsi="宋体" w:cs="宋体"/>
          <w:b/>
          <w:color w:val="000000"/>
          <w:highlight w:val="none"/>
        </w:rPr>
        <w:t>监理人</w:t>
      </w:r>
    </w:p>
    <w:p w14:paraId="6CF9A62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3.1 </w:t>
      </w:r>
      <w:r>
        <w:rPr>
          <w:rFonts w:hint="eastAsia" w:ascii="宋体" w:hAnsi="宋体" w:cs="宋体"/>
          <w:b/>
          <w:color w:val="000000"/>
          <w:highlight w:val="none"/>
        </w:rPr>
        <w:t>监理人的职责和权力</w:t>
      </w:r>
    </w:p>
    <w:p w14:paraId="497662B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3.1.1通用条款本款内容修改为：“总监理工程师（监理人）行使的权限必须已得到发包人的批准，同时在合同实施过程中总监理工程师在其权限范围内行使其职责，须报经发包人批准后通知承包人实施。”</w:t>
      </w:r>
    </w:p>
    <w:p w14:paraId="5221706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本项补充：</w:t>
      </w:r>
    </w:p>
    <w:p w14:paraId="4851741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监理人在行使下列权利前需要经发包人事先批准：</w:t>
      </w:r>
    </w:p>
    <w:p w14:paraId="11E455F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（1）根据第4.11款下产生的费用增加额；</w:t>
      </w:r>
    </w:p>
    <w:p w14:paraId="1646540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（2）根据第11.3款、12.3款、12.4款发布开工通知、暂停施工指示或复工通知；</w:t>
      </w:r>
    </w:p>
    <w:p w14:paraId="61EC593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（3）决定第11.3款、11.4款下的工期延长；</w:t>
      </w:r>
    </w:p>
    <w:p w14:paraId="4E40349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（4）审查批准技术标准和要求或设计的变更；</w:t>
      </w:r>
    </w:p>
    <w:p w14:paraId="7494C8A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（5）根据第15.3款发出的变更指令，确定变更价格；</w:t>
      </w:r>
    </w:p>
    <w:p w14:paraId="49F16D5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（6）确定第15.4款下变更工作的单价；</w:t>
      </w:r>
    </w:p>
    <w:p w14:paraId="76E4126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（7）按照第15.6款决定有关暂列金额的使用；</w:t>
      </w:r>
    </w:p>
    <w:p w14:paraId="3A7FCE4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（8）确定第15.8款项下的暂估列金额；</w:t>
      </w:r>
    </w:p>
    <w:p w14:paraId="6A7EBB6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（9）确定第23.1款项下的索赔额；</w:t>
      </w:r>
    </w:p>
    <w:p w14:paraId="0C054E5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如果发生紧急情况，监理人认为将造成人员伤亡，或危及本工程或邻近的财产需立即采取行动，监理人有权在未征得发包人的批准的情况下发布处理紧急情况所必需的指令，承包人应予执行。监理人应按第3.5款商定或确定因上述指令产生的合同价格的增加额。</w:t>
      </w:r>
    </w:p>
    <w:p w14:paraId="4AD3D55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增加：</w:t>
      </w:r>
    </w:p>
    <w:p w14:paraId="37365A6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“3.1.4 监理人还应遵照《水运工程施工监理规范》以及监理规程行使职权。发包人将根据江苏省交通行业有关监理规定的文件编制适合本标段的监理管理办法，监理人应遵守上述办法规定。</w:t>
      </w:r>
    </w:p>
    <w:p w14:paraId="7E06939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3.1.5 监理人的职责和权限尚应遵守监理合同中的规定。发包人将对监理人员实行考勤制度，必须保证监理人员每月至少有21天在现场。”</w:t>
      </w:r>
    </w:p>
    <w:p w14:paraId="4C07ACF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3.3 监理人员</w:t>
      </w:r>
    </w:p>
    <w:p w14:paraId="22EA926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3.3.4 第3.5款约定的责任和权力能否授权或委托给其他监理人员：否。</w:t>
      </w:r>
    </w:p>
    <w:p w14:paraId="69E0426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3.4 监理人的指示</w:t>
      </w:r>
    </w:p>
    <w:p w14:paraId="5031891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通用条款3.4.5内容修改为：“由于监理人未能按合同约定发出指示、指示延误或指示错误而导致承包人费用增加和（或）工期延误的，由监理人承担赔偿责任。”</w:t>
      </w:r>
    </w:p>
    <w:p w14:paraId="6A90204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3.5 商定或确定</w:t>
      </w:r>
    </w:p>
    <w:p w14:paraId="4AF44FF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3.5.1项补充：</w:t>
      </w:r>
    </w:p>
    <w:p w14:paraId="74CFF4A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如果这项商定或确定导致费用增加和（或）工期延长，或者涉及确定变更工程的价格，则总监理工程师在发出通知前，应征得发包人的同意。</w:t>
      </w:r>
    </w:p>
    <w:p w14:paraId="46C8C63A">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4. </w:t>
      </w:r>
      <w:r>
        <w:rPr>
          <w:rFonts w:hint="eastAsia" w:ascii="宋体" w:hAnsi="宋体" w:cs="宋体"/>
          <w:b/>
          <w:color w:val="000000"/>
          <w:highlight w:val="none"/>
        </w:rPr>
        <w:t>承包人</w:t>
      </w:r>
    </w:p>
    <w:p w14:paraId="764446B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4.1 </w:t>
      </w:r>
      <w:r>
        <w:rPr>
          <w:rFonts w:hint="eastAsia" w:ascii="宋体" w:hAnsi="宋体" w:cs="宋体"/>
          <w:b/>
          <w:color w:val="000000"/>
          <w:highlight w:val="none"/>
        </w:rPr>
        <w:t>承包人的一般义务</w:t>
      </w:r>
    </w:p>
    <w:p w14:paraId="6F6A6FC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4.1.3 完成各项承包工作</w:t>
      </w:r>
    </w:p>
    <w:p w14:paraId="61AD416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承包人是否提供完成合同工作所需的劳务、材料、施工设备、工程设备和其他物品：</w:t>
      </w:r>
      <w:r>
        <w:rPr>
          <w:rFonts w:hint="eastAsia" w:ascii="宋体" w:hAnsi="宋体" w:cs="宋体"/>
          <w:color w:val="000000"/>
          <w:highlight w:val="none"/>
          <w:u w:val="single"/>
        </w:rPr>
        <w:t>是</w:t>
      </w:r>
      <w:r>
        <w:rPr>
          <w:rFonts w:hint="eastAsia" w:ascii="宋体" w:hAnsi="宋体" w:cs="宋体"/>
          <w:color w:val="000000"/>
          <w:highlight w:val="none"/>
        </w:rPr>
        <w:t>。</w:t>
      </w:r>
    </w:p>
    <w:p w14:paraId="262F315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承包人是否负责临时设施的设计、建造、运行、维护、管理和拆除：</w:t>
      </w:r>
      <w:r>
        <w:rPr>
          <w:rFonts w:hint="eastAsia" w:ascii="宋体" w:hAnsi="宋体" w:cs="宋体"/>
          <w:color w:val="000000"/>
          <w:highlight w:val="none"/>
          <w:u w:val="single"/>
        </w:rPr>
        <w:t>是</w:t>
      </w:r>
      <w:r>
        <w:rPr>
          <w:rFonts w:hint="eastAsia" w:ascii="宋体" w:hAnsi="宋体" w:cs="宋体"/>
          <w:color w:val="000000"/>
          <w:highlight w:val="none"/>
        </w:rPr>
        <w:t>。</w:t>
      </w:r>
    </w:p>
    <w:p w14:paraId="224C7DA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4.1.10 其他义务</w:t>
      </w:r>
    </w:p>
    <w:p w14:paraId="50E122D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其他义务为：</w:t>
      </w:r>
    </w:p>
    <w:p w14:paraId="6E51050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（1）在本项目竣工验收后的有效使用期内，承包人应继续承担因施工原因而引起的质量责任。</w:t>
      </w:r>
    </w:p>
    <w:p w14:paraId="45BA740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承包人必须加强对相关隐蔽设施的保护，承包人必须事先查明情况，办理相关施工交底手续后，方可进行对隐蔽设施可能产生影响的相关项目施工，否则造成后果，除了由承包人自行承担一切责任外，发包人还将严肃追究承包人的违约责任。</w:t>
      </w:r>
    </w:p>
    <w:p w14:paraId="18697FE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承包人负责办理相关水上、水下施工许可证（如需）；承包人必须组织采用证照、手续齐全，性能良好，确保能安全施工的车辆、设备进行各项施工，在施工过程中所发生的一切安全责任均由承包人自行承担。</w:t>
      </w:r>
    </w:p>
    <w:p w14:paraId="0620F09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（4）因征地拆迁和设计变更影响，承包人应及时对施工组织和生产要素（工、料、机等）作好调整安排，避免造成停工停机损失。发包人不承担由此引起的索赔和补偿。</w:t>
      </w:r>
    </w:p>
    <w:p w14:paraId="6367CD17">
      <w:pPr>
        <w:pageBreakBefore w:val="0"/>
        <w:kinsoku/>
        <w:wordWrap/>
        <w:overflowPunct/>
        <w:topLinePunct w:val="0"/>
        <w:bidi w:val="0"/>
        <w:adjustRightInd w:val="0"/>
        <w:snapToGrid w:val="0"/>
        <w:spacing w:line="360" w:lineRule="auto"/>
        <w:ind w:firstLine="422" w:firstLineChars="200"/>
        <w:rPr>
          <w:rFonts w:ascii="宋体" w:hAnsi="宋体" w:cs="宋体"/>
          <w:b/>
          <w:bCs/>
          <w:color w:val="000000"/>
          <w:highlight w:val="none"/>
        </w:rPr>
      </w:pPr>
      <w:r>
        <w:rPr>
          <w:rFonts w:hint="eastAsia" w:ascii="宋体" w:hAnsi="宋体" w:cs="宋体"/>
          <w:b/>
          <w:color w:val="000000"/>
          <w:highlight w:val="none"/>
        </w:rPr>
        <w:t>（5）</w:t>
      </w:r>
      <w:r>
        <w:rPr>
          <w:rFonts w:hint="eastAsia" w:ascii="宋体" w:hAnsi="宋体" w:cs="宋体"/>
          <w:b/>
          <w:bCs/>
          <w:color w:val="000000"/>
          <w:highlight w:val="none"/>
        </w:rPr>
        <w:t>承包人在施工作业时，应充分考虑保证道路、航道安全畅通的需要，本项目施工过程中实施不断航施工，承包人在实施前应考虑其中风险，做好安全保障及应急措施方案，项目实施过程中须做好安全保障防护措施，包括夜间照明，警示标志等，确保施工及通航安全。</w:t>
      </w:r>
    </w:p>
    <w:p w14:paraId="083EB64C">
      <w:pPr>
        <w:pageBreakBefore w:val="0"/>
        <w:kinsoku/>
        <w:wordWrap/>
        <w:overflowPunct/>
        <w:topLinePunct w:val="0"/>
        <w:bidi w:val="0"/>
        <w:adjustRightInd w:val="0"/>
        <w:snapToGrid w:val="0"/>
        <w:spacing w:line="360" w:lineRule="auto"/>
        <w:ind w:firstLine="420" w:firstLineChars="200"/>
        <w:rPr>
          <w:rFonts w:ascii="宋体" w:hAnsi="宋体" w:cs="宋体"/>
          <w:bCs/>
          <w:color w:val="000000"/>
          <w:highlight w:val="none"/>
        </w:rPr>
      </w:pPr>
      <w:r>
        <w:rPr>
          <w:rFonts w:hint="eastAsia" w:ascii="宋体" w:hAnsi="宋体" w:cs="宋体"/>
          <w:bCs/>
          <w:color w:val="000000"/>
          <w:highlight w:val="none"/>
        </w:rPr>
        <w:t>a、承包人应合理组织施工。如因承包人采取的措施不力，造成影响公用道路、航道正常安全运营而给其它部门或个人造成的一切损失、或由上述原因造成本工程工期的拖延或施工费用的增加，均由承包人自行负责。</w:t>
      </w:r>
    </w:p>
    <w:p w14:paraId="219A50F4">
      <w:pPr>
        <w:pageBreakBefore w:val="0"/>
        <w:kinsoku/>
        <w:wordWrap/>
        <w:overflowPunct/>
        <w:topLinePunct w:val="0"/>
        <w:bidi w:val="0"/>
        <w:adjustRightInd w:val="0"/>
        <w:snapToGrid w:val="0"/>
        <w:spacing w:line="360" w:lineRule="auto"/>
        <w:ind w:firstLine="420" w:firstLineChars="200"/>
        <w:rPr>
          <w:rFonts w:ascii="宋体" w:hAnsi="宋体" w:cs="宋体"/>
          <w:bCs/>
          <w:color w:val="000000"/>
          <w:highlight w:val="none"/>
        </w:rPr>
      </w:pPr>
      <w:r>
        <w:rPr>
          <w:rFonts w:hint="eastAsia" w:ascii="宋体" w:hAnsi="宋体" w:cs="宋体"/>
          <w:bCs/>
          <w:color w:val="000000"/>
          <w:highlight w:val="none"/>
        </w:rPr>
        <w:t>b、在通航水域施工时，应与地方当局取得联系，设置必要的导航标志，及时发布航行通告，确保施工水域安全，合理安排施工组织计划，采取有效措施保证施工安全；标段内与其他在建工程有互扰的地段，承包人应做好与其它施工单位的协调工作。</w:t>
      </w:r>
    </w:p>
    <w:p w14:paraId="606CA73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c、</w:t>
      </w:r>
      <w:r>
        <w:rPr>
          <w:rFonts w:hint="eastAsia" w:ascii="宋体" w:hAnsi="宋体" w:cs="宋体"/>
          <w:bCs/>
          <w:color w:val="000000"/>
          <w:highlight w:val="none"/>
        </w:rPr>
        <w:t>结合当地的实际情况</w:t>
      </w:r>
      <w:r>
        <w:rPr>
          <w:rFonts w:hint="eastAsia" w:ascii="宋体" w:hAnsi="宋体" w:cs="宋体"/>
          <w:color w:val="000000"/>
          <w:highlight w:val="none"/>
        </w:rPr>
        <w:t>，一个有经验的承包人应考虑到施工过程中会发生的由于施工及各种原因造成的地方矛盾和阻工问题，承包人自行负责解决，并支付所发生的一切费用。发包人协助做好协调工作。发包人的协调不免除承包人自行解决矛盾的任何责任。</w:t>
      </w:r>
    </w:p>
    <w:p w14:paraId="0B8F4CA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（6）工程竣工时承包人应负责将便道、临时占地恢复至原来状况或满足监理人和发包人要求，复耕、整治费用由承包人承担。</w:t>
      </w:r>
    </w:p>
    <w:p w14:paraId="68C4B69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7）工程施工过程中，如工程确需影响到交通、航道等的正常运营以及附近建筑物的，承包人应申报监理人与发包人，并自行向相关部门申报（发包人可协助协调）获得批准后方可继续施工，并尽可能地缩短影响时间，因承包人的不作为或未按上述要求办理相关事宜而造成的有关部门的损失或相关费用，由承包人承担。</w:t>
      </w:r>
    </w:p>
    <w:p w14:paraId="6116AED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（8）鼓励承包人针对本项目进行科研试验实施，其科研成果为发包人和承包人共同拥有，相关费用由承包人自行承担。</w:t>
      </w:r>
    </w:p>
    <w:p w14:paraId="7994789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（9）合同实施期间，如果相关国家或相关行业颁发新的或更高的标准、规范，应采用新的或更高的标准或规范，合同价格不予调整。</w:t>
      </w:r>
    </w:p>
    <w:p w14:paraId="10B0BC4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10）除非合同另有规定，承包人应自行聘（雇）用当地或其他来源的职员或工人，但不得从为发包人或监理人服务的人员中招聘雇员和工人。承包人雇用员工应完善劳务注册手续，并与他雇用的员工订立劳务合同，以明确双方的权利和义务。承包人应按监理人规定的格式和间隔时间，向监理人提交一份承包人在现场的各类职员和各个工种、各等级的工人人数及装备数量统计表，这些人员和装备必须满足或超过在投标函中所列的数量和质量。若监理人认为承包人的装备和人员不能满足工程进度和质量要求，应向承包人发出增加人员和装备的指令，承包人在接到指令后14天内，必须按指令要求调整人员和装备。否则，按第22款承包人违约处理。</w:t>
      </w:r>
    </w:p>
    <w:p w14:paraId="0CFE6CB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（11）承包人应负责为其雇员安排食宿并提供各种必需的生活设施，并应采取合理的卫生防护措施和安全措施以保护其雇员的健康和安全。</w:t>
      </w:r>
    </w:p>
    <w:p w14:paraId="1F1F8DB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（12）承包人应负责其雇员的人身安全，并应按合同条款第20款的规定为其投保人身意外伤害险。</w:t>
      </w:r>
    </w:p>
    <w:p w14:paraId="659CE05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（13）承包人在处理劳务事宜时，应充分考虑和尊重法定的节假日和公认的农作季节，尊重宗教习惯和风俗习惯，由于承包人处理不当引起的费用或纠纷等责任由承包人自负。</w:t>
      </w:r>
    </w:p>
    <w:p w14:paraId="6095A09B">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color w:val="000000"/>
          <w:highlight w:val="none"/>
        </w:rPr>
        <w:t>（14）</w:t>
      </w:r>
      <w:r>
        <w:rPr>
          <w:rFonts w:hint="eastAsia" w:ascii="宋体" w:hAnsi="宋体" w:cs="宋体"/>
          <w:highlight w:val="none"/>
        </w:rPr>
        <w:t>施工总承包单位对承包工程项目的农民工工资支付工作负总责。如果发生违反规定拖欠或克扣民工工资行为，造成民工上访，承包人必须接受发包人暂停承包人1年期间参加发包人招标项目投标资格的违约责任，同时接受交通行政主管部门依照有关规定作出的其它处罚决定。</w:t>
      </w:r>
    </w:p>
    <w:p w14:paraId="3F7E2B91">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 xml:space="preserve">承包人在合同执行期间应该严格执行《保障农民工工资支付条例》、《省交通运输厅关于交通工程建设领域保障农民工工资支付的意见》（苏交规〔2021〕2号）、《江苏省工程建设领域农民工工资专用账户管理细则》（苏人社规【2022】3号）、《关于进一步落实工程建设领域按月足额支付工资规定的实施意见》（苏人保监【2020】17号）、“南通市人力资源和社会保障局等七部门关于印发《江苏省工程建设领域农名工工资专用账户管理细则》的通知（通人社监【2022】5号）”、“《关于加强工程建设领域劳资专管员队伍建设和管理的通知》通治欠办发【2023】11号”、“《关于进一步推进工程项目农民工工资“月结月清”工作的通知》通人社监[2024]3号”等相关文件的规定，切实做好农民工工资保障工作，具体措施包括： </w:t>
      </w:r>
    </w:p>
    <w:p w14:paraId="1398DEC7">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a.承包人应实行农民工实名制管理制度，建立健全农民工实名制管理制度。坚持与农民工先依法签订劳动合同后进场施工，对其进行基本安全培训。承包人应配备劳资专管员，对所招用农民工的实名制管理和工资支付负直接责任。承包人应及时支付相应工资时间期限内的农民工工资，并建立进场农民工实名制管理台账，反映农民工基本信息（包括姓名、年龄、籍贯、身份证号、家庭地址、工资卡号、联系方式）、岗位技能信息（文化程度、培训信息、技能水平）、劳动合同信息、进退场时间、在岗考勤、工资支付（应发工资项目及数额，代扣、代缴、扣除项目和数额，实发工资数额，银行代发工资凭证或者农民工签字）、诚信信息等，台账报发包人备案，并至少保存至项目交工且农民工工资全部结清后三年。</w:t>
      </w:r>
    </w:p>
    <w:p w14:paraId="69208D92">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b. 承包人应当按照有关规定在合同签订之日起30日内开设农民工工资专用账户，专项用于支付该工程建设项目农民工工资。开设、使用农民工工资专用账户有关资料应当由承包人妥善保存备查。</w:t>
      </w:r>
    </w:p>
    <w:p w14:paraId="46CFA415">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发包人保障每月农民工工资专用账户中的资金数额不低于当月进度款的10%，当月应发工资高于进度款10%的，承包人应当核定后上报农民工工资占工程款的比例，发包人按照最终确定的比例向工资专用账户补足不低于该比例的资金，专项用于农民工工资发放。</w:t>
      </w:r>
    </w:p>
    <w:p w14:paraId="4D31D47C">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c.农民工工资应当以货币形式按月支付给劳动者本人。不得克扣或者无故拖欠劳动者的工资。要确保所有参建农民工通过银行卡按月足额发放，改变只发当地最低工资标准，年终结算总额的做法。建设单位应当按照合同约定，根据施工企业的申报，按月或者按阶段将工程款中的农民工工资款项单独足额拨付到施工企业的专用账户。并对农民工工资支付情况进行监督，及时协调解决工资发放中存在的问题。</w:t>
      </w:r>
    </w:p>
    <w:p w14:paraId="4D2BCC71">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d.承包人应在项目开工前，在养护现场显著位置设置“维权告示牌”，明示建设单位、养护单位及所在项目部、行业监管部门、劳资专管员，当地最低工资标准、工资支付日期等基本信息以及劳动保障监察举报投诉电话、劳动争议调解仲裁申请渠道、法律援助申请渠道、公共法律服务热线等信息。</w:t>
      </w:r>
    </w:p>
    <w:p w14:paraId="08971A6F">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 xml:space="preserve">e.支付保障管理。本项目承包人须严格按照“关于印发《江苏省工程建设领域农民工工资保证金管理办法》的通知（苏人社规〔2022〕4号）”及“《关于做好全市工程建设领域农民工工资保证金管理工作的通知》（通人社监〔2023〕2 号）”及“《关于进一步推进工程项目农民工工资“月结月清”工作的通知》（通人社监[2024]3号）”等文件的规定缴纳农民工工资保证金。由发包人或付款单位出具有权部门的相应资金来源证明作为支付担保凭证，并畅通工程款拖欠投诉举报和沟通渠道，确保工程款按约定支付，确保农民工工资按月足额支付，月结月清。 </w:t>
      </w:r>
    </w:p>
    <w:p w14:paraId="07ACFBD0">
      <w:pPr>
        <w:pageBreakBefore w:val="0"/>
        <w:kinsoku/>
        <w:wordWrap/>
        <w:overflowPunct/>
        <w:topLinePunct w:val="0"/>
        <w:bidi w:val="0"/>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（特别提醒：承包人应主动与市人力资源和社会保障局对接，并按相关文件要求及规定及时缴纳农民工工资保证金。）</w:t>
      </w:r>
    </w:p>
    <w:p w14:paraId="5E57177B">
      <w:pPr>
        <w:pageBreakBefore w:val="0"/>
        <w:kinsoku/>
        <w:wordWrap/>
        <w:overflowPunct/>
        <w:topLinePunct w:val="0"/>
        <w:bidi w:val="0"/>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f.清偿职责。因发包人未按照合同约定及时拨付工程款导致农民工工资拖欠的，发包人应当以未结清的工程款为限先行垫付被拖欠的农民工工资。因承包人拖欠工资的，应按苏人社规【2022】4号《江苏省工程建设领域农民工工资保证金管理办法》或当时所下发的最新的农民工工资保证金相关文件规定支付被拖欠的工资。且承包人必须接受发包人暂停承包人1年期间参加发包人招标项目投标资格的处罚，同时接受交通行政主管部门依照有关规定作出的其它处罚决定。</w:t>
      </w:r>
    </w:p>
    <w:p w14:paraId="44B3761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（15）根据“交通运输部《公路水运工程安全生产监督管理办法》（[2017]第25号）”的规定，承包人应配备相应的安全生产管理人员及设备；</w:t>
      </w:r>
    </w:p>
    <w:p w14:paraId="67D2EB8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（16）施工期间承包人应严格执行关于排污的环保要求。严禁随意将生活垃圾和生活污水及废弃油料直接排入水域，防止施工机械的油料泄漏。排放污染物应进行必要的处理，达到排污标准以后方可排放。</w:t>
      </w:r>
    </w:p>
    <w:p w14:paraId="3745943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（17）承包人必须使用工程所在地消防部门认可的设备，并确保通过工程所在地消防部门的验收，消防验收的相关费用包含在相关工程的单价中，不另行单独计量支付。</w:t>
      </w:r>
    </w:p>
    <w:p w14:paraId="3BF5C7C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w:t>
      </w:r>
      <w:r>
        <w:rPr>
          <w:rFonts w:ascii="宋体" w:hAnsi="宋体" w:cs="宋体"/>
          <w:color w:val="000000"/>
          <w:highlight w:val="none"/>
        </w:rPr>
        <w:t>8</w:t>
      </w:r>
      <w:r>
        <w:rPr>
          <w:rFonts w:hint="eastAsia" w:ascii="宋体" w:hAnsi="宋体" w:cs="宋体"/>
          <w:color w:val="000000"/>
          <w:highlight w:val="none"/>
        </w:rPr>
        <w:t>）在项目实施过程中因为本工程施工或施工组织不力而导致的一切上述纠纷或安全事故及造成的一切损失均由承包人负责。</w:t>
      </w:r>
    </w:p>
    <w:p w14:paraId="1A45B97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w:t>
      </w:r>
      <w:r>
        <w:rPr>
          <w:rFonts w:ascii="宋体" w:hAnsi="宋体" w:cs="宋体"/>
          <w:color w:val="000000"/>
          <w:highlight w:val="none"/>
        </w:rPr>
        <w:t>9</w:t>
      </w:r>
      <w:r>
        <w:rPr>
          <w:rFonts w:hint="eastAsia" w:ascii="宋体" w:hAnsi="宋体" w:cs="宋体"/>
          <w:color w:val="000000"/>
          <w:highlight w:val="none"/>
        </w:rPr>
        <w:t>）承包人应根据工程施工情况及监理人的指令，及时向监理人提交开工报告、测量报告、试验检验报告、工程质量自检报告、竣工验收申请报告及工程事故报告等。</w:t>
      </w:r>
    </w:p>
    <w:p w14:paraId="093EC5F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w:t>
      </w:r>
      <w:r>
        <w:rPr>
          <w:rFonts w:ascii="宋体" w:hAnsi="宋体" w:cs="宋体"/>
          <w:color w:val="000000"/>
          <w:highlight w:val="none"/>
        </w:rPr>
        <w:t>20</w:t>
      </w:r>
      <w:r>
        <w:rPr>
          <w:rFonts w:hint="eastAsia" w:ascii="宋体" w:hAnsi="宋体" w:cs="宋体"/>
          <w:color w:val="000000"/>
          <w:highlight w:val="none"/>
        </w:rPr>
        <w:t>）承包人应充分认识到本标段的场地条件、自然条件、施工安全要求的特点和难点，采取适当的措施保证工程的顺利实施，并承担相应责任。</w:t>
      </w:r>
    </w:p>
    <w:p w14:paraId="783AEDE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1</w:t>
      </w:r>
      <w:r>
        <w:rPr>
          <w:rFonts w:hint="eastAsia" w:ascii="宋体" w:hAnsi="宋体" w:cs="宋体"/>
          <w:color w:val="000000"/>
          <w:highlight w:val="none"/>
        </w:rPr>
        <w:t>）用于工程施工的一切施工机械，必须类型齐全、配套完整，并与施工质量和进度相适应，其状况应能满足工程要求，并能完成保证质量的作业。</w:t>
      </w:r>
    </w:p>
    <w:p w14:paraId="42CE4C3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2</w:t>
      </w:r>
      <w:r>
        <w:rPr>
          <w:rFonts w:hint="eastAsia" w:ascii="宋体" w:hAnsi="宋体" w:cs="宋体"/>
          <w:color w:val="000000"/>
          <w:highlight w:val="none"/>
        </w:rPr>
        <w:t>）施工机械的使用与操作，应不使地基、结构物、邻近的公用设施、财产或其它道路受到损伤、损坏或造成污染。</w:t>
      </w:r>
    </w:p>
    <w:p w14:paraId="52C1417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3</w:t>
      </w:r>
      <w:r>
        <w:rPr>
          <w:rFonts w:hint="eastAsia" w:ascii="宋体" w:hAnsi="宋体" w:cs="宋体"/>
          <w:color w:val="000000"/>
          <w:highlight w:val="none"/>
        </w:rPr>
        <w:t>）承包人在投标书中承诺的施工机械设备计划，必须严格执行。若监理人发出了变更指令，承包人就应按监理人的变更指令执行。</w:t>
      </w:r>
    </w:p>
    <w:p w14:paraId="2A02EFB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4</w:t>
      </w:r>
      <w:r>
        <w:rPr>
          <w:rFonts w:hint="eastAsia" w:ascii="宋体" w:hAnsi="宋体" w:cs="宋体"/>
          <w:color w:val="000000"/>
          <w:highlight w:val="none"/>
        </w:rPr>
        <w:t>）根据工程的实施，承包人在提交进度计划时应附上一份详细的进场施工机械和。表中应包括各种机械的型式、能量大小、功率、产地、出厂日期、数量以及进入工地的日期，并报监理人批准。承包人应在监理人批准的时间内将表列所有施工机械运至工地。没有监理人的书面同意，承包人不得将其运出工地。</w:t>
      </w:r>
    </w:p>
    <w:p w14:paraId="08B2650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5</w:t>
      </w:r>
      <w:r>
        <w:rPr>
          <w:rFonts w:hint="eastAsia" w:ascii="宋体" w:hAnsi="宋体" w:cs="宋体"/>
          <w:color w:val="000000"/>
          <w:highlight w:val="none"/>
        </w:rPr>
        <w:t>）承包人应遵守《中华人民共和国安全生产法》及有关指导安全、健康与环保卫生方面的法规和规范，并应提供相应的安全设施和保护器材及采取其他有效安全措施，以保护现场施工和监理人员的生命、健康及安全。</w:t>
      </w:r>
    </w:p>
    <w:p w14:paraId="7FCEDCF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（26）承包人应自费保管工程进度、隐蔽工程、试验报告、障碍物拆除以及所有影响工程的记录（包括资料、设备的来源），以备需要评定工程进度和工程质量时查阅。</w:t>
      </w:r>
    </w:p>
    <w:p w14:paraId="23E0C0E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7</w:t>
      </w:r>
      <w:r>
        <w:rPr>
          <w:rFonts w:hint="eastAsia" w:ascii="宋体" w:hAnsi="宋体" w:cs="宋体"/>
          <w:color w:val="000000"/>
          <w:highlight w:val="none"/>
        </w:rPr>
        <w:t>）当分部工程完成时，承包人须按施工技术总结及竣工文件编制要求，将上述原始记录、施工记录、进度照片、录像等资料编订成册，并复印2份，提交监理人。其中发包人和监理人各保存一份，原始资料由承包人保存。</w:t>
      </w:r>
    </w:p>
    <w:p w14:paraId="389749D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8</w:t>
      </w:r>
      <w:r>
        <w:rPr>
          <w:rFonts w:hint="eastAsia" w:ascii="宋体" w:hAnsi="宋体" w:cs="宋体"/>
          <w:color w:val="000000"/>
          <w:highlight w:val="none"/>
        </w:rPr>
        <w:t>）当工程接近完成时，承包人须按交通运输部相关竣工验收办法编制交工验收所需的施工技术总结及竣工文件6套，包括竣工图表和设计、施工文件两部分，最终的竣工CAD图纸文件。该文件应在交工验收前42日内提交监理人审查。</w:t>
      </w:r>
    </w:p>
    <w:p w14:paraId="40E97AA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w:t>
      </w:r>
      <w:r>
        <w:rPr>
          <w:rFonts w:ascii="宋体" w:hAnsi="宋体" w:cs="宋体"/>
          <w:color w:val="000000"/>
          <w:highlight w:val="none"/>
        </w:rPr>
        <w:t>9</w:t>
      </w:r>
      <w:r>
        <w:rPr>
          <w:rFonts w:hint="eastAsia" w:ascii="宋体" w:hAnsi="宋体" w:cs="宋体"/>
          <w:color w:val="000000"/>
          <w:highlight w:val="none"/>
        </w:rPr>
        <w:t>）承包人应按合同条款规定制定施工场地计划表自行向当地相关部门申请，除另有规定外，施工场地退还前，承包人应自费恢复到使用前的状况。涉及工程占地所发生的一切费用和责任由承包人承担。</w:t>
      </w:r>
    </w:p>
    <w:p w14:paraId="1001E24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w:t>
      </w:r>
      <w:r>
        <w:rPr>
          <w:rFonts w:ascii="宋体" w:hAnsi="宋体" w:cs="宋体"/>
          <w:color w:val="000000"/>
          <w:highlight w:val="none"/>
        </w:rPr>
        <w:t>30</w:t>
      </w:r>
      <w:r>
        <w:rPr>
          <w:rFonts w:hint="eastAsia" w:ascii="宋体" w:hAnsi="宋体" w:cs="宋体"/>
          <w:color w:val="000000"/>
          <w:highlight w:val="none"/>
        </w:rPr>
        <w:t>）施工期间承包人应严格执行中央及省市地方政府关于施工环境保护的要求。严禁随意将生活垃圾和生活污水及废弃油料直接排入水域，防止施工机械的油料泄漏。排放污染物应进行必要的处理，达到排污标准以后方可排放。</w:t>
      </w:r>
    </w:p>
    <w:p w14:paraId="27F08CA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本项目弃土、废浆、废弃物和垃圾清理外运、处理工作由本项目承包人负全责。</w:t>
      </w:r>
    </w:p>
    <w:p w14:paraId="58FDDEA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a 、承包人应按省市及地方相关管理单位弃土、排放泥浆的有关规定办理相关手续并承担相关费用，承包人弃土工作、垃圾处理必须满足发包人、环保等有关部门的相关规定，外运土方须按南通市有关渣土管理规定执行，土方、垃圾抛弃点由承包人自行考虑并承担相关费用。</w:t>
      </w:r>
    </w:p>
    <w:p w14:paraId="13FA6F5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b、承包人进场后，应布设好场内的排水系统，施工排水必须经沉淀后才能排入附近河流或下水道，排放工作由承包人负全责；</w:t>
      </w:r>
    </w:p>
    <w:p w14:paraId="1D739DF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c 、承包人不得将泥浆等废弃物和废水直接丢弃或排放于河中，应采用循环利用或统一处理，并应满足环保的相关要求；</w:t>
      </w:r>
    </w:p>
    <w:p w14:paraId="5E2CA71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d、在施工期间，承包人应对土方运输工作实行统一扎口管理，加大管理力度，完善管理制度，避免发生重大跑、冒、滴、漏现象和运输交通事故；交管部门规定若只能在夜间出土，承包人应服从交管部门的指令，合理安排施工计划；</w:t>
      </w:r>
    </w:p>
    <w:p w14:paraId="4656355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e 、在施工期间，承包人应保证各种包装的完整，严禁运输装卸过程中抛漏。</w:t>
      </w:r>
    </w:p>
    <w:p w14:paraId="5D6A0AC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f、对于弃土(泥浆)工作，应满足以下要求：</w:t>
      </w:r>
    </w:p>
    <w:p w14:paraId="7A87857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①承包人自行办理相关的土方运输许可及运输手续，所有安全文明施工及手续符合南通市渣土 运输的相关管理规定。</w:t>
      </w:r>
    </w:p>
    <w:p w14:paraId="13D0B10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②业主不提供临时堆土场与渣土堆放场地，承包人应自行调查、解决，且渣土堆放应符合南通市相关的环保管理规定。本项目外借土方发包人不提供土源，承包人自行解决。</w:t>
      </w:r>
    </w:p>
    <w:p w14:paraId="7BED3DF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③土方运输过程中不得有抛洒滴漏现象，同时按地方相关规定加强运输期间场地、道路的保洁工作；</w:t>
      </w:r>
    </w:p>
    <w:p w14:paraId="67D5655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④土方运输所经道路如发生意外抛洒滴漏的，承包人因安排保洁人员及时清理，并对道路进行冲洗。</w:t>
      </w:r>
    </w:p>
    <w:p w14:paraId="3144F5C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⑤承包人应做好土方运输管理工作，所有土方不得有私拉乱倒现象发生。</w:t>
      </w:r>
    </w:p>
    <w:p w14:paraId="4CDCE03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⑥承包人运输及回填前需提前与发包人、监理确认土方堆放地点及场地平整要求和临时覆盖事 宜。</w:t>
      </w:r>
    </w:p>
    <w:p w14:paraId="2786F8C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⑦承包人应严格进行土方运输、堆放期间的各项安全管理；临时土方堆场不做硬质化处理，土方堆放期间需按要求设置必须采取彩钢板围挡全封闭，不得透光，围挡应整洁美观，并做好防尘措施；</w:t>
      </w:r>
    </w:p>
    <w:p w14:paraId="17F4BA7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在施工期间，若因承包人违规施工而造成环境与设施的污染、破坏，发包人将要求追究承包人所有责任。</w:t>
      </w:r>
    </w:p>
    <w:p w14:paraId="7EF81CC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承包人因执行以上各项要求而发生的一切费用应含在相关细目报价中并包干使用，不单独计量 与支付。</w:t>
      </w:r>
    </w:p>
    <w:p w14:paraId="31B88CE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4.2 </w:t>
      </w:r>
      <w:r>
        <w:rPr>
          <w:rFonts w:hint="eastAsia" w:ascii="宋体" w:hAnsi="宋体" w:cs="宋体"/>
          <w:b/>
          <w:color w:val="000000"/>
          <w:highlight w:val="none"/>
        </w:rPr>
        <w:t>履约担保</w:t>
      </w:r>
    </w:p>
    <w:p w14:paraId="23457F5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删除通用条款本款内容，修改为：</w:t>
      </w:r>
    </w:p>
    <w:p w14:paraId="002A10F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“4.2.1 履约担保 </w:t>
      </w:r>
    </w:p>
    <w:p w14:paraId="16948C9D">
      <w:pPr>
        <w:pageBreakBefore w:val="0"/>
        <w:kinsoku/>
        <w:wordWrap/>
        <w:overflowPunct/>
        <w:topLinePunct w:val="0"/>
        <w:bidi w:val="0"/>
        <w:adjustRightInd w:val="0"/>
        <w:snapToGrid w:val="0"/>
        <w:spacing w:line="360" w:lineRule="auto"/>
        <w:ind w:firstLine="420" w:firstLineChars="200"/>
        <w:rPr>
          <w:rFonts w:hint="eastAsia" w:ascii="宋体" w:hAnsi="宋体" w:cs="宋体"/>
          <w:b w:val="0"/>
          <w:bCs w:val="0"/>
          <w:color w:val="000000"/>
          <w:kern w:val="2"/>
          <w:highlight w:val="none"/>
        </w:rPr>
      </w:pPr>
      <w:r>
        <w:rPr>
          <w:rFonts w:hint="eastAsia" w:ascii="宋体" w:hAnsi="宋体" w:cs="宋体"/>
          <w:color w:val="000000"/>
          <w:highlight w:val="none"/>
        </w:rPr>
        <w:t>承包人在签订合同协议书前应向发包人提交签约合同价5％的履约担保</w:t>
      </w:r>
      <w:r>
        <w:rPr>
          <w:rFonts w:hint="eastAsia" w:ascii="宋体" w:hAnsi="宋体" w:cs="宋体"/>
          <w:b w:val="0"/>
          <w:bCs w:val="0"/>
          <w:color w:val="000000"/>
          <w:kern w:val="2"/>
          <w:highlight w:val="none"/>
        </w:rPr>
        <w:t>（在最近一次江苏省公路水路建设市场从业单位信用评定结果中的信用等级被评为AA级或在最近一次江苏省公路水运建设市场守信激励主体对象名单（红名单）中的中标人，履约保证金金额为2.5%签约合同价。</w:t>
      </w:r>
    </w:p>
    <w:p w14:paraId="2690AE7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b w:val="0"/>
          <w:bCs w:val="0"/>
          <w:color w:val="000000"/>
          <w:kern w:val="2"/>
          <w:highlight w:val="none"/>
          <w:lang w:val="en-US" w:eastAsia="zh-CN"/>
        </w:rPr>
        <w:t>履约保证金形式不限，</w:t>
      </w:r>
      <w:r>
        <w:rPr>
          <w:rFonts w:hint="eastAsia" w:ascii="宋体" w:hAnsi="宋体" w:cs="宋体"/>
          <w:color w:val="000000"/>
          <w:highlight w:val="none"/>
        </w:rPr>
        <w:t>采用银行保函时，保函应采用招标文件所附的或发包人事先同意的格式，出具保函的银行级别</w:t>
      </w:r>
      <w:r>
        <w:rPr>
          <w:rFonts w:hint="eastAsia" w:ascii="宋体" w:hAnsi="宋体" w:cs="宋体"/>
          <w:color w:val="000000"/>
          <w:highlight w:val="none"/>
          <w:lang w:val="en-US" w:eastAsia="zh-CN"/>
        </w:rPr>
        <w:t>为</w:t>
      </w:r>
      <w:r>
        <w:rPr>
          <w:rFonts w:hint="eastAsia" w:ascii="宋体" w:hAnsi="宋体" w:cs="宋体"/>
          <w:color w:val="000000"/>
          <w:highlight w:val="none"/>
        </w:rPr>
        <w:t>支行及以上级别的国有或股份制商业银行，并保证其有效。保函的正本由发包人保存。执行本条各项要求所需的费用由承包人承担。</w:t>
      </w:r>
    </w:p>
    <w:p w14:paraId="393B9B9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4.2.2 履约担保的有效期</w:t>
      </w:r>
    </w:p>
    <w:p w14:paraId="4FBC40C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在承包人按照合同要求实施和完成本标段之前，履约担保一直有效。在根据第18款规定发出工程接收证书后，发包人不应对本担保再提出任何索赔要求。发包人应在工程接收证书颁发后的28天内把履约担保退还给承包人。”</w:t>
      </w:r>
    </w:p>
    <w:p w14:paraId="56DF0512">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4.3 </w:t>
      </w:r>
      <w:r>
        <w:rPr>
          <w:rFonts w:hint="eastAsia" w:ascii="宋体" w:hAnsi="宋体" w:cs="宋体"/>
          <w:b/>
          <w:color w:val="000000"/>
          <w:highlight w:val="none"/>
        </w:rPr>
        <w:t>分包</w:t>
      </w:r>
    </w:p>
    <w:p w14:paraId="28640BB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本项目不允许分包。</w:t>
      </w:r>
    </w:p>
    <w:p w14:paraId="68F1616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4.4 </w:t>
      </w:r>
      <w:r>
        <w:rPr>
          <w:rFonts w:hint="eastAsia" w:ascii="宋体" w:hAnsi="宋体" w:cs="宋体"/>
          <w:b/>
          <w:color w:val="000000"/>
          <w:highlight w:val="none"/>
        </w:rPr>
        <w:t>联合体</w:t>
      </w:r>
    </w:p>
    <w:p w14:paraId="27E3329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本次项目不接受联合体。</w:t>
      </w:r>
    </w:p>
    <w:p w14:paraId="4DCA24A5">
      <w:pPr>
        <w:pStyle w:val="7"/>
        <w:pageBreakBefore w:val="0"/>
        <w:kinsoku/>
        <w:wordWrap/>
        <w:overflowPunct/>
        <w:topLinePunct w:val="0"/>
        <w:bidi w:val="0"/>
        <w:adjustRightInd w:val="0"/>
        <w:snapToGrid w:val="0"/>
        <w:spacing w:before="0" w:after="0" w:line="360" w:lineRule="auto"/>
        <w:ind w:left="0" w:firstLine="422" w:firstLineChars="200"/>
        <w:rPr>
          <w:rFonts w:ascii="宋体" w:hAnsi="宋体" w:eastAsia="宋体" w:cs="宋体"/>
          <w:color w:val="000000"/>
          <w:sz w:val="21"/>
          <w:szCs w:val="21"/>
          <w:highlight w:val="none"/>
        </w:rPr>
      </w:pPr>
      <w:r>
        <w:rPr>
          <w:rFonts w:hint="eastAsia" w:ascii="宋体" w:hAnsi="宋体" w:eastAsia="宋体" w:cs="宋体"/>
          <w:bCs w:val="0"/>
          <w:color w:val="000000"/>
          <w:sz w:val="21"/>
          <w:szCs w:val="21"/>
          <w:highlight w:val="none"/>
        </w:rPr>
        <w:t>4.5 承包人项目经理</w:t>
      </w:r>
    </w:p>
    <w:p w14:paraId="4C73742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4.5.1增加：“承包人的项目经理目前应没有参加其它在建工程，并能确保在发包人规定的时间内进场，开展本工程。中标后，在整个工程实施过程中，承包人成立项目经理部，派出投标文件中承诺的项目经理。发包人将对项目经理实行考勤制度，必须保证每月至少有21天在工地现场。”</w:t>
      </w:r>
    </w:p>
    <w:p w14:paraId="00A6ED7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4.6 </w:t>
      </w:r>
      <w:r>
        <w:rPr>
          <w:rFonts w:hint="eastAsia" w:ascii="宋体" w:hAnsi="宋体" w:cs="宋体"/>
          <w:b/>
          <w:color w:val="000000"/>
          <w:highlight w:val="none"/>
        </w:rPr>
        <w:t>承包人人员的管理</w:t>
      </w:r>
    </w:p>
    <w:p w14:paraId="62EE03C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4.6.1 通用条款本款内容“28天内”修改为“7天内”</w:t>
      </w:r>
    </w:p>
    <w:p w14:paraId="48F0B3D9">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4.7 </w:t>
      </w:r>
      <w:r>
        <w:rPr>
          <w:rFonts w:hint="eastAsia" w:ascii="宋体" w:hAnsi="宋体" w:cs="宋体"/>
          <w:b/>
          <w:color w:val="000000"/>
          <w:highlight w:val="none"/>
        </w:rPr>
        <w:t>撤换承包人项目经理和其他人员</w:t>
      </w:r>
    </w:p>
    <w:p w14:paraId="69E52EF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增加：“发包人认为工程实施情况需要时，发包人即有权要求承包人立即更换项目经理</w:t>
      </w:r>
      <w:r>
        <w:rPr>
          <w:rFonts w:hint="eastAsia" w:ascii="宋体" w:hAnsi="宋体" w:cs="宋体"/>
          <w:bCs/>
          <w:color w:val="000000"/>
          <w:highlight w:val="none"/>
        </w:rPr>
        <w:t>和其他人员</w:t>
      </w:r>
      <w:r>
        <w:rPr>
          <w:rFonts w:hint="eastAsia" w:ascii="宋体" w:hAnsi="宋体" w:cs="宋体"/>
          <w:color w:val="000000"/>
          <w:highlight w:val="none"/>
        </w:rPr>
        <w:t>。对此，承包人不得拒绝。承包人无条件更换的项目经理</w:t>
      </w:r>
      <w:r>
        <w:rPr>
          <w:rFonts w:hint="eastAsia" w:ascii="宋体" w:hAnsi="宋体" w:cs="宋体"/>
          <w:bCs/>
          <w:color w:val="000000"/>
          <w:highlight w:val="none"/>
        </w:rPr>
        <w:t>和其他人员须</w:t>
      </w:r>
      <w:r>
        <w:rPr>
          <w:rFonts w:hint="eastAsia" w:ascii="宋体" w:hAnsi="宋体" w:cs="宋体"/>
          <w:color w:val="000000"/>
          <w:highlight w:val="none"/>
        </w:rPr>
        <w:t>经发包人认可。</w:t>
      </w:r>
    </w:p>
    <w:p w14:paraId="76C09FA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若承包人未经发包人同意擅自更换管理人员的，发包人将向承包人收取违约金并可在当期工程价款支付中扣除。其标准是：</w:t>
      </w:r>
    </w:p>
    <w:p w14:paraId="34F49E1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项目经理：</w:t>
      </w:r>
      <w:r>
        <w:rPr>
          <w:rFonts w:hint="eastAsia" w:ascii="宋体" w:hAnsi="宋体" w:cs="宋体"/>
          <w:color w:val="000000"/>
          <w:highlight w:val="none"/>
          <w:lang w:val="en-US" w:eastAsia="zh-CN"/>
        </w:rPr>
        <w:t>5</w:t>
      </w:r>
      <w:r>
        <w:rPr>
          <w:rFonts w:hint="eastAsia" w:ascii="宋体" w:hAnsi="宋体" w:cs="宋体"/>
          <w:color w:val="000000"/>
          <w:highlight w:val="none"/>
        </w:rPr>
        <w:t>万元/人•次</w:t>
      </w:r>
    </w:p>
    <w:p w14:paraId="1E4F9CD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总工、项目副经理（如有）：</w:t>
      </w:r>
      <w:r>
        <w:rPr>
          <w:rFonts w:hint="eastAsia" w:ascii="宋体" w:hAnsi="宋体" w:cs="宋体"/>
          <w:color w:val="000000"/>
          <w:highlight w:val="none"/>
          <w:lang w:val="en-US" w:eastAsia="zh-CN"/>
        </w:rPr>
        <w:t>2</w:t>
      </w:r>
      <w:r>
        <w:rPr>
          <w:rFonts w:hint="eastAsia" w:ascii="宋体" w:hAnsi="宋体" w:cs="宋体"/>
          <w:color w:val="000000"/>
          <w:highlight w:val="none"/>
        </w:rPr>
        <w:t>万元/人•次</w:t>
      </w:r>
    </w:p>
    <w:p w14:paraId="1D59156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安全员：</w:t>
      </w:r>
      <w:r>
        <w:rPr>
          <w:rFonts w:hint="eastAsia" w:ascii="宋体" w:hAnsi="宋体" w:cs="宋体"/>
          <w:color w:val="000000"/>
          <w:highlight w:val="none"/>
          <w:lang w:val="en-US" w:eastAsia="zh-CN"/>
        </w:rPr>
        <w:t>1</w:t>
      </w:r>
      <w:r>
        <w:rPr>
          <w:rFonts w:hint="eastAsia" w:ascii="宋体" w:hAnsi="宋体" w:cs="宋体"/>
          <w:color w:val="000000"/>
          <w:highlight w:val="none"/>
        </w:rPr>
        <w:t>万元/人•次</w:t>
      </w:r>
    </w:p>
    <w:p w14:paraId="7BAB16D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4.8 保障承包人人员的合法权益</w:t>
      </w:r>
    </w:p>
    <w:p w14:paraId="712A6DC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本款增加第4.8.7项：</w:t>
      </w:r>
    </w:p>
    <w:p w14:paraId="0DE6319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4.8.7 承包人应自费采取必须的卫生防护措施，经常保持现场及其驻地整洁和卫生，以保护职员和工人的健康，并应与当地卫生部门合作，根据要求在整个合同执行期间配备医务人员，防止传染病和准备常用的急救药物。在炎热的高温条件下施工时，承包人应注意采取防暑降温措施。</w:t>
      </w:r>
    </w:p>
    <w:p w14:paraId="521CCBE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4.9 </w:t>
      </w:r>
      <w:r>
        <w:rPr>
          <w:rFonts w:hint="eastAsia" w:ascii="宋体" w:hAnsi="宋体" w:cs="宋体"/>
          <w:b/>
          <w:color w:val="000000"/>
          <w:highlight w:val="none"/>
        </w:rPr>
        <w:t>工程价款应专款专用</w:t>
      </w:r>
    </w:p>
    <w:p w14:paraId="50883FA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内容修改为：“发包人按合同约定支付给承包人的各项价款应专用于合同工程。承包人应向发包人授权进行本标段的专款专用资金，不得转移或用于其他工程。发包人有权不定期对承包人工程资金使用情况进行检查，若发现承包人未能专款专用的，发包人有权暂停支付工程进度款，直至承包人的资金使用达到专款专用的要求为止。</w:t>
      </w:r>
    </w:p>
    <w:p w14:paraId="2DF7E7B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4.11 </w:t>
      </w:r>
      <w:r>
        <w:rPr>
          <w:rFonts w:hint="eastAsia" w:ascii="宋体" w:hAnsi="宋体" w:cs="宋体"/>
          <w:b/>
          <w:color w:val="000000"/>
          <w:highlight w:val="none"/>
        </w:rPr>
        <w:t>不利物质条件</w:t>
      </w:r>
    </w:p>
    <w:p w14:paraId="4C3616D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本款增加第4.11.3项：</w:t>
      </w:r>
    </w:p>
    <w:p w14:paraId="424BBA7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4.11.3 可预见的不利物质条件</w:t>
      </w:r>
    </w:p>
    <w:p w14:paraId="252D944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(1)对于合同中已经明确指出的不利物质条件无论承包人是否有其经历和经验均视为承包人在接受合同时已预见其影响，并已在签约合同价中计入其影响而可能发生的一切费用。</w:t>
      </w:r>
    </w:p>
    <w:p w14:paraId="30E5BB8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(2)对于合同未明确指出，但是在不利物质条件发生之前，监理人已经指示承包人有可能发生，但承包人未能及时采取有效措施，而导致的损失和后果均由承包人承担。</w:t>
      </w:r>
    </w:p>
    <w:p w14:paraId="7B075B8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(3)对于在没有监理人具体指令情况下，承包人已经及时采取了合理而恰当的措施，并事后为监理人接受，监理人应报发包人同意后适当考虑承包人因此增加的费用或工期。</w:t>
      </w:r>
    </w:p>
    <w:p w14:paraId="67B279BD">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bCs/>
          <w:color w:val="000000"/>
          <w:highlight w:val="none"/>
        </w:rPr>
        <w:t xml:space="preserve">5. </w:t>
      </w:r>
      <w:r>
        <w:rPr>
          <w:rFonts w:hint="eastAsia" w:ascii="宋体" w:hAnsi="宋体" w:cs="宋体"/>
          <w:b/>
          <w:color w:val="000000"/>
          <w:highlight w:val="none"/>
        </w:rPr>
        <w:t>材料和工程设备</w:t>
      </w:r>
    </w:p>
    <w:p w14:paraId="00F5527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5.3 </w:t>
      </w:r>
      <w:r>
        <w:rPr>
          <w:rFonts w:hint="eastAsia" w:ascii="宋体" w:hAnsi="宋体" w:cs="宋体"/>
          <w:b/>
          <w:color w:val="000000"/>
          <w:highlight w:val="none"/>
        </w:rPr>
        <w:t>材料和工程设备专用于合同工程</w:t>
      </w:r>
    </w:p>
    <w:p w14:paraId="6F4E415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通用条款本款5.3.1末增加：“否则将按第22.1款视为承包人违约。”</w:t>
      </w:r>
    </w:p>
    <w:p w14:paraId="2A79A6C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5.4 禁止使用不合格的材料和工程设备</w:t>
      </w:r>
    </w:p>
    <w:p w14:paraId="6B66C76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删除通用条款本款5.4.3内容。</w:t>
      </w:r>
    </w:p>
    <w:p w14:paraId="38270D5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bCs/>
          <w:color w:val="000000"/>
          <w:highlight w:val="none"/>
        </w:rPr>
        <w:t xml:space="preserve">6. </w:t>
      </w:r>
      <w:r>
        <w:rPr>
          <w:rFonts w:hint="eastAsia" w:ascii="宋体" w:hAnsi="宋体" w:cs="宋体"/>
          <w:b/>
          <w:color w:val="000000"/>
          <w:highlight w:val="none"/>
        </w:rPr>
        <w:t>施工设备和临时设施</w:t>
      </w:r>
    </w:p>
    <w:p w14:paraId="07270F6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6.1 </w:t>
      </w:r>
      <w:r>
        <w:rPr>
          <w:rFonts w:hint="eastAsia" w:ascii="宋体" w:hAnsi="宋体" w:cs="宋体"/>
          <w:b/>
          <w:color w:val="000000"/>
          <w:highlight w:val="none"/>
        </w:rPr>
        <w:t>承包人提供的施工设备和临时设施</w:t>
      </w:r>
    </w:p>
    <w:p w14:paraId="64B75AD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删除通用条款本款内容，改为：</w:t>
      </w:r>
    </w:p>
    <w:p w14:paraId="2125788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“6.1.1 为实施和完成本合同工程及其缺陷的修复，承包人应按“资格审查资料”中所报的设备型号、规格、数量和时间向现场调遣或租用主要施工机械及材料试验、质检仪器设备，进入施工现场的承包人设备需经监理人和发包人核查后才能投入使用。承包人更换合同约定的承包人设备的，应报监理人和发包人批准。所有施工设备不得拖延、短缺或任意更换，否则将按第22.1款视为承包人违约。</w:t>
      </w:r>
    </w:p>
    <w:p w14:paraId="37083D7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尽管承包人已按“资格审查资料”的要求提供了上述机械、设备和仪器，但当监理人或发包人认为仍不能满足现场施工的需要或不能保证工程安全和质量时，监理人或发包人有权要求承包人继续调遣或租用某些设备、仪器。承包人在接到指令后应立即执行，否则将按第22.1款视为承包人违约。</w:t>
      </w:r>
    </w:p>
    <w:p w14:paraId="6A4BBD5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6.1.2  承包人修建临时设施和（或）需要临时占地的，应由承包人办理申请手续并承担相应费用，发包人可提供协助。”</w:t>
      </w:r>
    </w:p>
    <w:p w14:paraId="1C68BC4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增加下列项：</w:t>
      </w:r>
    </w:p>
    <w:p w14:paraId="7911A0C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6.1.3 实施程序</w:t>
      </w:r>
    </w:p>
    <w:p w14:paraId="25DEF42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（1）承包人应在合同签订后的21天内将有关临时工程与设施的布置、结构等施工图纸和相关资料提交监理人审查，有义务对监理人的疑问进行解答，并在必要时修改设计直至完全获得监理人的同意。</w:t>
      </w:r>
    </w:p>
    <w:p w14:paraId="45085D2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（2）任何临时工程与设施的开工，均需经监理人书面同意。承包人应在计划的开工日期7天前向监理人书面提出相应临时工程与设施的开工申请。</w:t>
      </w:r>
    </w:p>
    <w:p w14:paraId="1B559C7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（3）临时工程与设施需经监理人验收同意后方可投入使用，但为此不应减轻承包人对其质量负责。</w:t>
      </w:r>
    </w:p>
    <w:p w14:paraId="626E15A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6.1.4 协助与拆除</w:t>
      </w:r>
    </w:p>
    <w:p w14:paraId="72B6A49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临时工程与设施开工前承包人应向当地政府有关部门（水利、航政、土地管理等机构）提出申请，并应得到其书面批准。发包人和监理人应在获得批准方面给予帮助，不论效果怎样，均不能减轻承包人在合同范围内应负的责任。</w:t>
      </w:r>
    </w:p>
    <w:p w14:paraId="2650746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（2）在不影响主体工程施工的情况下，承包人有义务为现场的其它承包人对临时工程与设施的使用提供协助配合，并不因此增加额外的费用。</w:t>
      </w:r>
    </w:p>
    <w:p w14:paraId="3C93B1D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（3）除非另有协议或监理人另有指示，永久工程竣工后，承包人应撤走、拆除和处理全部临时工程与设施。拆除的临时工程材料应尽快运出工地，直至监理人满意。</w:t>
      </w:r>
    </w:p>
    <w:p w14:paraId="7BCDD3A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6.1.5责任与义务</w:t>
      </w:r>
    </w:p>
    <w:p w14:paraId="4FCE72A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（1）由于临时工程与设施未能及时交付使用或质量问题等而造成的工程延误或可能的费用增加应由承包人负责。</w:t>
      </w:r>
    </w:p>
    <w:p w14:paraId="7DA3F46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（2）承包人应确保临时工程与设施在使用期间安全可靠，监理人对有关设计文件资料的批复不减轻承包人的任何责任。</w:t>
      </w:r>
    </w:p>
    <w:p w14:paraId="35898CF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（3）所有用于临时工程与设施的材料、设备必须符合经监理人批准的设计资料的要求，特别对于反复使用的材料和设备须通过性能检测，经监理人验收同意方可进入现场使用。</w:t>
      </w:r>
    </w:p>
    <w:p w14:paraId="58CF7E7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（4）承包人有义务对临时工程与设施在施工期的观测资料进行及时的分析、整理，并报送监理人。因承包人未能及时将有关异常的观测信息反馈给监理人而造成的延误和损失由承包人承担。</w:t>
      </w:r>
    </w:p>
    <w:p w14:paraId="2E80B3B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（5）工程实施过程中，承包人应做好与地方政府、水利、环保等行政主管部门的沟通、协调工作，相关费用由承包人自行承担。</w:t>
      </w:r>
    </w:p>
    <w:p w14:paraId="52CC843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6.1.6 其它规定</w:t>
      </w:r>
    </w:p>
    <w:p w14:paraId="4280EA0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6.1.6.1临时交通</w:t>
      </w:r>
    </w:p>
    <w:p w14:paraId="2978573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临时交通包括为保证本合同规定的工程所需的设备、材料和施工机具的运输而修建的以及因永久工程的施工需要而修建的临时道路、桥梁、码头及其附属设施等。工作内容包括临时交通的设计、施工、维护、拆除等。</w:t>
      </w:r>
    </w:p>
    <w:p w14:paraId="2D0B721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（2）要求</w:t>
      </w:r>
    </w:p>
    <w:p w14:paraId="7966672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1）承包人应将拟修建的临时道路、桥梁、码头及其附属设施的详细设计与说明，提交监理人批准。</w:t>
      </w:r>
    </w:p>
    <w:p w14:paraId="36E9359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2）本工程的施工与现有的道路、桥涵发生冲突和干扰之处，承包人都要在本工程施工之前完成改道施工或修建临时道路。临时道路应满足现有交通量的要求。</w:t>
      </w:r>
    </w:p>
    <w:p w14:paraId="389E64F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如果承包人利用现有的道路作为临时道路，应将该道路进行修整、加宽、加固及设置必要的交通标志，并经监理人验收合格后方可通行。给原有道路造成损害的，应及时予以修补、加固，不得给发包人带来投诉等不良影响。</w:t>
      </w:r>
    </w:p>
    <w:p w14:paraId="79F3A0C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4）工程施工期间，承包人应配备人员对临时道路进行养护，以保证临时道路和结构物的正常通行。</w:t>
      </w:r>
    </w:p>
    <w:p w14:paraId="289CEAE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5）工程结束时，除监理人另有批准外，应将临时道路和结构物做一次全面维修保养，恢复原有的交通标志。凡因施工需要而临时增加的设施均应拆除，并应经监理人检验合格。</w:t>
      </w:r>
    </w:p>
    <w:p w14:paraId="514D0CA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6.1.6.2临时供电</w:t>
      </w:r>
    </w:p>
    <w:p w14:paraId="00A18F3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（1）临时供电包括工程的实施与保修以及承包人职工生活（包括监理人的驻地和工地实验室）所需的全部电力供应。</w:t>
      </w:r>
    </w:p>
    <w:p w14:paraId="2D27F16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（2）要求</w:t>
      </w:r>
    </w:p>
    <w:p w14:paraId="484B0A4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1）发包人不提供供电接口，承包人自行考虑。</w:t>
      </w:r>
    </w:p>
    <w:p w14:paraId="118BB24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2）电力安装工作应符合当地供电部门的规定。</w:t>
      </w:r>
    </w:p>
    <w:p w14:paraId="5F1BF80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3）承包人应配备自行发电设备以保证由于地方电网供电发生故障时或供应不足时，提供工地所需用电。发包人不承担由于承包人电力设备故障引起的损失责任。</w:t>
      </w:r>
    </w:p>
    <w:p w14:paraId="50E5E80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4）工程竣工后，经监理人同意，应拆除全部（包括自发电）临时供电线路和有关附属设备。</w:t>
      </w:r>
    </w:p>
    <w:p w14:paraId="23EF28A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6.1.6.3临时供、排水</w:t>
      </w:r>
    </w:p>
    <w:p w14:paraId="398B377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（1）临时供、排水包括本工程施工及保修的生产和职工生活所需全部用水的提供以及施工期生活污水、生产污水、雨水的排放，承包人应自行解决并承担所有费用。</w:t>
      </w:r>
    </w:p>
    <w:p w14:paraId="5870810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（2）要求</w:t>
      </w:r>
    </w:p>
    <w:p w14:paraId="5627DD4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1）承包人应将拟安装的供水管线图提交监理人审批。</w:t>
      </w:r>
    </w:p>
    <w:p w14:paraId="58BF2DD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2）生产用水应滤除飘浮杂物，水质应符合本技术标准和要求各有关项目对生产用水水质的要求。</w:t>
      </w:r>
    </w:p>
    <w:p w14:paraId="404FFED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3）生产现场要做好排水设施，保持施工场地干燥整洁，便于施工，同时减小环境污染。特别是施工机械油污水应经收集妥善处理后排放，生产、生活污水的排放应该符合国家标准《污水综合排放标准》（GB 8978-1996）的要求。</w:t>
      </w:r>
    </w:p>
    <w:p w14:paraId="7F9843E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4）生活饮用水应符合国家有关饮用水的标准和当地卫生部门的规定。室外水管冬季应采取防冻措施，避免冻裂影响生产与生活。</w:t>
      </w:r>
    </w:p>
    <w:p w14:paraId="0CBCDD0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6.1.6.4临时通信</w:t>
      </w:r>
      <w:r>
        <w:rPr>
          <w:rFonts w:hint="eastAsia" w:ascii="宋体" w:hAnsi="宋体" w:cs="宋体"/>
          <w:color w:val="000000"/>
          <w:highlight w:val="none"/>
        </w:rPr>
        <w:tab/>
      </w:r>
      <w:r>
        <w:rPr>
          <w:rFonts w:hint="eastAsia" w:ascii="宋体" w:hAnsi="宋体" w:cs="宋体"/>
          <w:color w:val="000000"/>
          <w:highlight w:val="none"/>
        </w:rPr>
        <w:t>`</w:t>
      </w:r>
      <w:r>
        <w:rPr>
          <w:rFonts w:hint="eastAsia" w:ascii="宋体" w:hAnsi="宋体" w:cs="宋体"/>
          <w:color w:val="000000"/>
          <w:highlight w:val="none"/>
        </w:rPr>
        <w:tab/>
      </w:r>
      <w:r>
        <w:rPr>
          <w:rFonts w:hint="eastAsia" w:ascii="宋体" w:hAnsi="宋体" w:cs="宋体"/>
          <w:color w:val="000000"/>
          <w:highlight w:val="none"/>
        </w:rPr>
        <w:tab/>
      </w:r>
    </w:p>
    <w:p w14:paraId="441A1E6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（1）临时通信包括安设开通承包人使用的有线或无线通话设施，并承担上述线路设施的租用、安装、连接、服务等一切费用以及在合同履行期间的通信费。</w:t>
      </w:r>
    </w:p>
    <w:p w14:paraId="543A0A3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（2）要求</w:t>
      </w:r>
    </w:p>
    <w:p w14:paraId="63B9932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1）承包人如使用无线电通信设备（如对讲机等）时，应向当地无线电管理委员会注册登记，服从管理。</w:t>
      </w:r>
    </w:p>
    <w:p w14:paraId="480AEC8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2）承包人应及时缴纳通信费用，确保合同履行期间的通信畅通。</w:t>
      </w:r>
    </w:p>
    <w:p w14:paraId="418421C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6.2 </w:t>
      </w:r>
      <w:r>
        <w:rPr>
          <w:rFonts w:hint="eastAsia" w:ascii="宋体" w:hAnsi="宋体" w:cs="宋体"/>
          <w:b/>
          <w:color w:val="000000"/>
          <w:highlight w:val="none"/>
        </w:rPr>
        <w:t>发包人提供的施工设备和临时设施</w:t>
      </w:r>
    </w:p>
    <w:p w14:paraId="62387C7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发包人提供的施工设备或临时设施：</w:t>
      </w:r>
      <w:r>
        <w:rPr>
          <w:rFonts w:hint="eastAsia" w:ascii="宋体" w:hAnsi="宋体" w:cs="宋体"/>
          <w:color w:val="000000"/>
          <w:highlight w:val="none"/>
          <w:u w:val="single"/>
          <w:lang w:val="en-GB"/>
        </w:rPr>
        <w:t>无</w:t>
      </w:r>
      <w:r>
        <w:rPr>
          <w:rFonts w:hint="eastAsia" w:ascii="宋体" w:hAnsi="宋体" w:cs="宋体"/>
          <w:color w:val="000000"/>
          <w:highlight w:val="none"/>
          <w:u w:val="single"/>
        </w:rPr>
        <w:t>。</w:t>
      </w:r>
    </w:p>
    <w:p w14:paraId="0C1F2922">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7. </w:t>
      </w:r>
      <w:r>
        <w:rPr>
          <w:rFonts w:hint="eastAsia" w:ascii="宋体" w:hAnsi="宋体" w:cs="宋体"/>
          <w:b/>
          <w:color w:val="000000"/>
          <w:highlight w:val="none"/>
        </w:rPr>
        <w:t>交通运输</w:t>
      </w:r>
    </w:p>
    <w:p w14:paraId="7B10C541">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7.2 </w:t>
      </w:r>
      <w:r>
        <w:rPr>
          <w:rFonts w:hint="eastAsia" w:ascii="宋体" w:hAnsi="宋体" w:cs="宋体"/>
          <w:b/>
          <w:color w:val="000000"/>
          <w:highlight w:val="none"/>
        </w:rPr>
        <w:t>场内施工道路</w:t>
      </w:r>
    </w:p>
    <w:p w14:paraId="49368086">
      <w:pPr>
        <w:pageBreakBefore w:val="0"/>
        <w:kinsoku/>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highlight w:val="none"/>
        </w:rPr>
      </w:pPr>
      <w:r>
        <w:rPr>
          <w:rFonts w:hint="eastAsia" w:ascii="宋体" w:hAnsi="宋体" w:cs="宋体"/>
          <w:color w:val="000000"/>
          <w:highlight w:val="none"/>
        </w:rPr>
        <w:t>通用条款7.2.2内容修改为：“除专用合同条款另有约定外，承包人修建的临时道路和交通设施应免费提供发包人、监理人和其他发包人认可的承包人使用。</w:t>
      </w:r>
    </w:p>
    <w:p w14:paraId="08DA98B6">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8. </w:t>
      </w:r>
      <w:r>
        <w:rPr>
          <w:rFonts w:hint="eastAsia" w:ascii="宋体" w:hAnsi="宋体" w:cs="宋体"/>
          <w:b/>
          <w:color w:val="000000"/>
          <w:highlight w:val="none"/>
        </w:rPr>
        <w:t>测量放线</w:t>
      </w:r>
    </w:p>
    <w:p w14:paraId="5ED45C6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8.1 </w:t>
      </w:r>
      <w:r>
        <w:rPr>
          <w:rFonts w:hint="eastAsia" w:ascii="宋体" w:hAnsi="宋体" w:cs="宋体"/>
          <w:b/>
          <w:color w:val="000000"/>
          <w:highlight w:val="none"/>
        </w:rPr>
        <w:t>施工控制网</w:t>
      </w:r>
    </w:p>
    <w:p w14:paraId="6905782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删除通用条款本款原内容，改为：</w:t>
      </w:r>
    </w:p>
    <w:p w14:paraId="61DA8F7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“(1)发包人施工单位进场后开工前，通过监理人向承包人提供原始控制网(基准点、基准高程等)书面资料，并现场向承包人交桩，做好交桩记录，交桩记录必须经监理人、承包人双方签字确认。</w:t>
      </w:r>
    </w:p>
    <w:p w14:paraId="0C79123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“(2)承包人应根据监理人书面移交的控制网数据，负责对原始控制网数据的复测，根据工程 施工放样的需要对控制网进行加密；</w:t>
      </w:r>
    </w:p>
    <w:p w14:paraId="0D3D142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“(3)承包人应根据本标段的测量控制需要，对已完相邻工程进行必要的复测，向监理人提出 复测报告，其费用由承包人承担；</w:t>
      </w:r>
    </w:p>
    <w:p w14:paraId="6699F9E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“(4)承包人应根据国家测绘基准、测绘系统和工程测量技术规范，按上述基准点(线)以及合同工程精度要求，测设满足施工及相关规范要求的测量控制网，并在开工之日 7 天内，将施工控制网资料报送监理人审批；</w:t>
      </w:r>
    </w:p>
    <w:p w14:paraId="3326623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(5)承包人应负责管理施工控制网点。施工控制网点丢失或损坏的，承包人应及时修复。承包人应承担施工控制网点的管理与修复费用，并在工程竣工后将施工控制网点移交发包人。对因自身原因造成原始控制点的破坏根据相关法律法规承担相应责任，且不得因此向发包人索取可能延长的工期和可能增加的费用。”</w:t>
      </w:r>
    </w:p>
    <w:p w14:paraId="26AA811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8.2 施工测量</w:t>
      </w:r>
    </w:p>
    <w:p w14:paraId="334409C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通用条款本款增加：</w:t>
      </w:r>
    </w:p>
    <w:p w14:paraId="7596DC2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8.2.3 项: (1)承包人应对监理人提供的资料进行复测验算，以检查其准确性，承包人在得到资 料后 14 天内向监理人提交复测结果，如对上述资料有异议时，应同时通知监理人，并与其共同进行必要的检查核实，经核查的测量资料应由监理人再次以书面形式交付承包人；</w:t>
      </w:r>
    </w:p>
    <w:p w14:paraId="45593C5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承包人应为拟建建筑物所需的结构精确地测绘定位放样负责。承包人在合同签订后21天内应将他拟定的工程测量放样计划提交监理人审查。在建筑物放样前承包人应对不同编号图纸上的高程尺寸进行核对无误后，方可按图放样；</w:t>
      </w:r>
    </w:p>
    <w:p w14:paraId="09D8006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(3)在合同执行期间，承包人应将施工中所有的标桩，进行加固保护，并对水准点、三角网点等树立易于识别的标志。承包人应对永久性测量标志进行保护，直至工程竣工验收后，完整地交监理人。</w:t>
      </w:r>
    </w:p>
    <w:p w14:paraId="4836A16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(4)承包人应负责施工期间的变形测量和观测，具体要求应符合《水运工程测量规范》相关的规定。</w:t>
      </w:r>
    </w:p>
    <w:p w14:paraId="6A962C2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内容，增加：“承包人负责提供与放样工作有关的劳务、机具及仪器设备。应经常对使用的测量仪器进行定期检查与校正，填写检查证书报监理人核查。在本合同工程施工过程中，如果工程任何部分的位置、标高、尺寸或线形出现超出合同规定的误差，一经发现，承包人应自费纠正，直到监理人认为符合合同规定为止。 ”</w:t>
      </w:r>
    </w:p>
    <w:p w14:paraId="7017639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8.3 基准资料错误的责任</w:t>
      </w:r>
    </w:p>
    <w:p w14:paraId="73D0D51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本款末增加：“承包人应对发包人提供的基准资料进行核实，发现错误，应及时通知监理人和发包人，否则应承担相应责任。”</w:t>
      </w:r>
    </w:p>
    <w:p w14:paraId="4B301B7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8.4 监理人使用施工控制网</w:t>
      </w:r>
    </w:p>
    <w:p w14:paraId="421E3BA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通用条款本款内容修改为：“监理人使用施工控制网的，承包人应提供必要的协助，发包人不再为此支付费用。施工控制网应无偿提供给发包人、监理人、发包人许可的其它承包人使用。”</w:t>
      </w:r>
    </w:p>
    <w:p w14:paraId="49FA8937">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9. 施工安全、治安保卫和环境保护</w:t>
      </w:r>
    </w:p>
    <w:p w14:paraId="148B0DD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9.1 发包人的施工安全责任</w:t>
      </w:r>
    </w:p>
    <w:p w14:paraId="102BD3CC">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color w:val="000000"/>
          <w:sz w:val="21"/>
          <w:szCs w:val="21"/>
          <w:highlight w:val="none"/>
        </w:rPr>
      </w:pPr>
      <w:r>
        <w:rPr>
          <w:rFonts w:hint="eastAsia"/>
          <w:color w:val="000000"/>
          <w:sz w:val="21"/>
          <w:szCs w:val="21"/>
          <w:highlight w:val="none"/>
        </w:rPr>
        <w:t>通用条款本款末增加：</w:t>
      </w:r>
    </w:p>
    <w:p w14:paraId="7134C301">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color w:val="000000"/>
          <w:sz w:val="21"/>
          <w:szCs w:val="21"/>
          <w:highlight w:val="none"/>
        </w:rPr>
      </w:pPr>
      <w:r>
        <w:rPr>
          <w:rFonts w:hint="eastAsia"/>
          <w:color w:val="000000"/>
          <w:sz w:val="21"/>
          <w:szCs w:val="21"/>
          <w:highlight w:val="none"/>
        </w:rPr>
        <w:t>9.1.3 项补充：“如果承包人或其雇员也对上述人身伤亡或财产损失负有部分责任时，承包人也 应承担相应赔偿责任。 ”</w:t>
      </w:r>
    </w:p>
    <w:p w14:paraId="0E34AE7A">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color w:val="000000"/>
          <w:sz w:val="21"/>
          <w:szCs w:val="21"/>
          <w:highlight w:val="none"/>
        </w:rPr>
      </w:pPr>
      <w:r>
        <w:rPr>
          <w:rFonts w:hint="eastAsia"/>
          <w:color w:val="000000"/>
          <w:sz w:val="21"/>
          <w:szCs w:val="21"/>
          <w:highlight w:val="none"/>
        </w:rPr>
        <w:t>删除本款(2)内容。</w:t>
      </w:r>
    </w:p>
    <w:p w14:paraId="67809665">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color w:val="000000"/>
          <w:sz w:val="21"/>
          <w:szCs w:val="21"/>
          <w:highlight w:val="none"/>
        </w:rPr>
      </w:pPr>
      <w:r>
        <w:rPr>
          <w:rFonts w:hint="eastAsia"/>
          <w:color w:val="000000"/>
          <w:sz w:val="21"/>
          <w:szCs w:val="21"/>
          <w:highlight w:val="none"/>
        </w:rPr>
        <w:t>9.1.4 开展本工程安全生产经验交流，促进安全生产知识水平的提高；</w:t>
      </w:r>
    </w:p>
    <w:p w14:paraId="69F1F05B">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color w:val="000000"/>
          <w:sz w:val="21"/>
          <w:szCs w:val="21"/>
          <w:highlight w:val="none"/>
        </w:rPr>
      </w:pPr>
      <w:r>
        <w:rPr>
          <w:rFonts w:hint="eastAsia"/>
          <w:color w:val="000000"/>
          <w:sz w:val="21"/>
          <w:szCs w:val="21"/>
          <w:highlight w:val="none"/>
        </w:rPr>
        <w:t>9.1.5 法律、法规规定的其他职责。</w:t>
      </w:r>
    </w:p>
    <w:p w14:paraId="3EF538B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9.2 承包人的施工安全责任</w:t>
      </w:r>
    </w:p>
    <w:p w14:paraId="32D6FF2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15934C8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“9.2.1项细化为：</w:t>
      </w:r>
    </w:p>
    <w:p w14:paraId="4529538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应按合同约定履行安全职责，严格执行国家、地方政府有关施工安全管理方面的法律、法规及规章制度，同时严格执行发包人制订的本标段安全生产管理方面的规章制度、安全检查程序及施工安全管理要求，以及监理人有关安全工作的指示。</w:t>
      </w:r>
    </w:p>
    <w:p w14:paraId="5B4A97B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应根据本工程的实际安全施工要求，编制本工程的实施性施工安全组织设计，报监理人和发包人批准。该施组包括(但不限于)施工安全保障体系，安全生产责任制，安全生产管理规章制度，安全防护施工方案，施工现场临时用电方案，施工安全评估，安全预控及保证措施方案、工地出入管理制度、环境卫生制度、防火制度，紧急应变措施，安全标识、警示和围护方案、周围及邻近环境保护规则等。对影响安全的重要工序和下列危险性较大的工程应编制专项施工方案，并附安全验算结果，经承包人技术负责人签字并报监理人和发包人批准后实施，由专职安全生产管理人员进行现场监督。</w:t>
      </w:r>
    </w:p>
    <w:p w14:paraId="7669D8A6">
      <w:pPr>
        <w:pageBreakBefore w:val="0"/>
        <w:kinsoku/>
        <w:wordWrap/>
        <w:overflowPunct/>
        <w:topLinePunct w:val="0"/>
        <w:bidi w:val="0"/>
        <w:adjustRightInd w:val="0"/>
        <w:snapToGrid w:val="0"/>
        <w:spacing w:line="360" w:lineRule="auto"/>
        <w:ind w:firstLine="422" w:firstLineChars="200"/>
        <w:rPr>
          <w:rFonts w:ascii="宋体" w:hAnsi="宋体" w:cs="宋体"/>
          <w:color w:val="000000"/>
          <w:highlight w:val="none"/>
        </w:rPr>
      </w:pPr>
      <w:r>
        <w:rPr>
          <w:rFonts w:hint="eastAsia" w:ascii="宋体" w:hAnsi="宋体" w:cs="宋体"/>
          <w:b/>
          <w:color w:val="000000"/>
          <w:highlight w:val="none"/>
        </w:rPr>
        <w:t>对承包人按此采取的安全保护措施,</w:t>
      </w:r>
      <w:r>
        <w:rPr>
          <w:rFonts w:hint="eastAsia" w:ascii="宋体" w:hAnsi="宋体" w:cs="宋体"/>
          <w:color w:val="000000"/>
          <w:highlight w:val="none"/>
        </w:rPr>
        <w:t>发包人和监理人有权监督，并向承包人提出整改要求,对此承包人应遵照执行,并承担可能发生的一切费用。</w:t>
      </w:r>
    </w:p>
    <w:p w14:paraId="3555173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监理人和发包人在检查中发现有安全问题或有违反安全管理规章制度的情况时，可视其情节轻重，分别给予承包人通报批评、警告、责令停工等处罚。</w:t>
      </w:r>
    </w:p>
    <w:p w14:paraId="4907AF4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9.2.8 承包人应调查了解施工地点的水文、地质、气象及海潮等情况，负责本标段的防潮和防汛的工作。为执行本款要求而发生的费用均应认为已计入承包人的报价之中，发包人将不另行支付。凡因承包人采取措施不力而造成本标段的一切损失、工期拖延及施工费用的增加等均由承包人自行负责。</w:t>
      </w:r>
    </w:p>
    <w:p w14:paraId="167041E0">
      <w:pPr>
        <w:pageBreakBefore w:val="0"/>
        <w:kinsoku/>
        <w:wordWrap/>
        <w:overflowPunct/>
        <w:topLinePunct w:val="0"/>
        <w:bidi w:val="0"/>
        <w:adjustRightInd w:val="0"/>
        <w:snapToGrid w:val="0"/>
        <w:spacing w:line="360" w:lineRule="auto"/>
        <w:ind w:firstLine="422" w:firstLineChars="200"/>
        <w:rPr>
          <w:rFonts w:ascii="宋体" w:hAnsi="宋体" w:cs="宋体"/>
          <w:b/>
          <w:color w:val="000000"/>
          <w:kern w:val="0"/>
          <w:highlight w:val="none"/>
        </w:rPr>
      </w:pPr>
      <w:r>
        <w:rPr>
          <w:rFonts w:hint="eastAsia" w:ascii="宋体" w:hAnsi="宋体" w:cs="宋体"/>
          <w:b/>
          <w:color w:val="000000"/>
          <w:kern w:val="0"/>
          <w:highlight w:val="none"/>
        </w:rPr>
        <w:t>9.2.9根据“交通运输部《公路水运工程安全生产监督管理办法》（[2017]第25号）”和“</w:t>
      </w:r>
      <w:r>
        <w:rPr>
          <w:rFonts w:hint="eastAsia" w:ascii="宋体" w:hAnsi="宋体" w:cs="宋体"/>
          <w:b/>
          <w:color w:val="000000"/>
          <w:kern w:val="0"/>
          <w:highlight w:val="none"/>
          <w:lang w:val="zh-CN"/>
        </w:rPr>
        <w:t>关于印发《企业安全生产费用提取和使用管理办法》的通知(财资〔2022〕136号)</w:t>
      </w:r>
      <w:r>
        <w:rPr>
          <w:rFonts w:hint="eastAsia" w:ascii="宋体" w:hAnsi="宋体" w:cs="宋体"/>
          <w:b/>
          <w:color w:val="000000"/>
          <w:kern w:val="0"/>
          <w:highlight w:val="none"/>
        </w:rPr>
        <w:t>”的规定，承包人“安全生产费用”按招标人设定的投标控制价上限（总价）的1.5％</w:t>
      </w:r>
      <w:r>
        <w:rPr>
          <w:rFonts w:hint="eastAsia" w:ascii="宋体" w:hAnsi="宋体" w:cs="宋体"/>
          <w:b/>
          <w:kern w:val="0"/>
          <w:highlight w:val="none"/>
          <w:lang w:eastAsia="zh-CN"/>
        </w:rPr>
        <w:t>（</w:t>
      </w:r>
      <w:r>
        <w:rPr>
          <w:rFonts w:hint="eastAsia" w:ascii="宋体" w:hAnsi="宋体" w:cs="宋体"/>
          <w:b/>
          <w:kern w:val="0"/>
          <w:highlight w:val="none"/>
          <w:lang w:val="en-US" w:eastAsia="zh-CN"/>
        </w:rPr>
        <w:t>不足1万按1万计</w:t>
      </w:r>
      <w:r>
        <w:rPr>
          <w:rFonts w:hint="eastAsia" w:ascii="宋体" w:hAnsi="宋体" w:cs="宋体"/>
          <w:b/>
          <w:kern w:val="0"/>
          <w:highlight w:val="none"/>
          <w:lang w:eastAsia="zh-CN"/>
        </w:rPr>
        <w:t>）</w:t>
      </w:r>
      <w:r>
        <w:rPr>
          <w:rFonts w:hint="eastAsia" w:ascii="宋体" w:hAnsi="宋体" w:cs="宋体"/>
          <w:b/>
          <w:color w:val="000000"/>
          <w:kern w:val="0"/>
          <w:highlight w:val="none"/>
        </w:rPr>
        <w:t>计列在工程量报价汇总表中。项目实施过程中由发包人根据监理人对工程安全生产情况的签字确认进行支付(按实计量)，支付上限为投标报价中的安全生产费报价。投标人在投标报价时不得对该金额进行调整。除合同另有规定，承包人在施工过程中用于安全生产的费用若超出了安全生产费总额，超出部分费用视已包括在相关项目单价或总额价内，发包人不另行计量与支付。</w:t>
      </w:r>
    </w:p>
    <w:p w14:paraId="09C504E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(1)特殊工种(电工、电梯工、起重工、电焊工、车船驾驶员、爆破工、潜水工、瓦斯检验员等)应经过专业培训，并持有专业主管部门签发的合格证上岗；</w:t>
      </w:r>
    </w:p>
    <w:p w14:paraId="1E542B0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(2)对于易燃易爆的材料除应专门妥善保管之外，还应配备有足够的消防设备，所有施工人员都应熟悉消防设备的性能和使用方法：</w:t>
      </w:r>
    </w:p>
    <w:p w14:paraId="06146F3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(3)所有施工机具设备和高空作业设备均应定期检查，并有安全员的签字记录；</w:t>
      </w:r>
    </w:p>
    <w:p w14:paraId="11730DE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9.2.10 为了保护本标段免遭损坏，或为了现场附近和过往群众的安全与方便，在确有必要的时候和地方，或当监理人或有关主管部门要求时，承包人应自费提供照明、警卫、护栅、警告标志等安全防护设施。</w:t>
      </w:r>
    </w:p>
    <w:p w14:paraId="61EB2B0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9.2.11承包人应与地方当局取得联系，在通航水域设置必要的导航标志，及时发布航行通告，确保施工水域安全。</w:t>
      </w:r>
    </w:p>
    <w:p w14:paraId="63526E4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9.2.12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8FEECF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9.2.13发包人和监理人在检查中发现有安全违法违规行为，或对发包人、监理人检查指出问题整改不及时不闭合，或内业资料形成不及时、不完整、不规范等情况时，有权视情节轻重采取通报批评、责令停工、约谈等措施，同时有权按照《南通市航道养护专项工程安全管理处罚实施细则》进行罚款，并可在当期计量支付款中扣除。</w:t>
      </w:r>
    </w:p>
    <w:p w14:paraId="2B1A4BF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9.3 治安保卫</w:t>
      </w:r>
    </w:p>
    <w:p w14:paraId="1026D64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63AA461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9.3.4承包人应在现场建立治安管理机构或联防组织并承担相应费用，服从发包人的管理。同时承包人应加强对所有现场施工人员的管理，尽量减少对交通等正常运营的干扰。</w:t>
      </w:r>
    </w:p>
    <w:p w14:paraId="6AEDE77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9.4 环境保护</w:t>
      </w:r>
    </w:p>
    <w:p w14:paraId="49940CA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11C8A13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“9.4.7施工期间承包人应严格执行关于生态的环保措施要求，严禁捕捞和捕杀珍稀水生生物。禁止将废弃物、散体施工材料抛入河中、湖中、江中。</w:t>
      </w:r>
    </w:p>
    <w:p w14:paraId="59D0DE3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9.4.8 承包人应严格遵守海事、水利、航政、环保、渔政等有关部门的规定，切实执行保证航行安全的各项安全防护措施，并保证施工安全，严格防止污染水域，严格执行各项环保措施。</w:t>
      </w:r>
    </w:p>
    <w:p w14:paraId="039B4FC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9.4.9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80B557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9.4.10 在施工期间，承包人应随时保持现场整洁，施工设备和材料、工程设备应整齐妥善存放和贮存，废料与垃圾及不再需要的临时设施应及时从现场清除、拆除并运走。</w:t>
      </w:r>
    </w:p>
    <w:p w14:paraId="0F28D86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9.4.11承包人应对在整个施工过程中钻孔桩施工所产生的泥浆及其他污染物采取防护措施，及时将所产生泥浆等收集并运走，避免对水质及环境造成影响。</w:t>
      </w:r>
    </w:p>
    <w:p w14:paraId="2005580F">
      <w:pPr>
        <w:pageBreakBefore w:val="0"/>
        <w:widowControl/>
        <w:kinsoku/>
        <w:wordWrap/>
        <w:overflowPunct/>
        <w:topLinePunct w:val="0"/>
        <w:bidi w:val="0"/>
        <w:adjustRightInd w:val="0"/>
        <w:snapToGrid w:val="0"/>
        <w:spacing w:line="360" w:lineRule="auto"/>
        <w:ind w:firstLine="420" w:firstLineChars="200"/>
        <w:jc w:val="left"/>
        <w:rPr>
          <w:rFonts w:ascii="宋体" w:hAnsi="宋体" w:cs="宋体"/>
          <w:color w:val="000000"/>
          <w:highlight w:val="none"/>
          <w:lang w:val="zh-CN"/>
        </w:rPr>
      </w:pPr>
      <w:r>
        <w:rPr>
          <w:rFonts w:hint="eastAsia" w:ascii="宋体" w:hAnsi="宋体" w:cs="宋体"/>
          <w:color w:val="000000"/>
          <w:highlight w:val="none"/>
        </w:rPr>
        <w:t>9.4.12</w:t>
      </w:r>
      <w:r>
        <w:rPr>
          <w:rFonts w:hint="eastAsia" w:ascii="宋体" w:hAnsi="宋体" w:cs="宋体"/>
          <w:color w:val="000000"/>
          <w:highlight w:val="none"/>
          <w:lang w:val="zh-CN"/>
        </w:rPr>
        <w:t>本项目位于市城区中心地带，周围有大量居民区、办公楼等民用建筑，承包人在施工过程中必须作好防尘（包括车辆及机械设备等出入清洗）、降噪（不得影响附近居民办公休息）等工作。</w:t>
      </w:r>
    </w:p>
    <w:p w14:paraId="0C70B93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如果由于承包人未执行有关规定而发生赔偿，一切损失及费用应由承包人自行承担。”</w:t>
      </w:r>
    </w:p>
    <w:p w14:paraId="683DF75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10. </w:t>
      </w:r>
      <w:r>
        <w:rPr>
          <w:rFonts w:hint="eastAsia" w:ascii="宋体" w:hAnsi="宋体" w:cs="宋体"/>
          <w:b/>
          <w:color w:val="000000"/>
          <w:highlight w:val="none"/>
        </w:rPr>
        <w:t>进度计划</w:t>
      </w:r>
    </w:p>
    <w:p w14:paraId="13E754E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10.1 </w:t>
      </w:r>
      <w:r>
        <w:rPr>
          <w:rFonts w:hint="eastAsia" w:ascii="宋体" w:hAnsi="宋体" w:cs="宋体"/>
          <w:b/>
          <w:color w:val="000000"/>
          <w:highlight w:val="none"/>
        </w:rPr>
        <w:t>合同进度计划</w:t>
      </w:r>
    </w:p>
    <w:p w14:paraId="4EA3077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删除通用条款本款原内容，改为：</w:t>
      </w:r>
    </w:p>
    <w:p w14:paraId="5EA7070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应在签订合同协议书后28天内，向监理人和发包人提交8份符合合同规定的工程进度计划，以及为完成该计划而建议采用的实施性的施工安排和施工方案的说明。监理人和发包人应在收到该计划后的14天内审查同意或提出修改意见，承包人应认真修改后及时重新上报，直至监理人和发包人同意后生效。工程进度计划应按照关键线路网络图和主要工作横道图两种形式分别编绘，并应包括每月预计完成的工作量和形象进度。”</w:t>
      </w:r>
    </w:p>
    <w:p w14:paraId="3BBCBF4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10.2 </w:t>
      </w:r>
      <w:r>
        <w:rPr>
          <w:rFonts w:hint="eastAsia" w:ascii="宋体" w:hAnsi="宋体" w:cs="宋体"/>
          <w:b/>
          <w:color w:val="000000"/>
          <w:highlight w:val="none"/>
        </w:rPr>
        <w:t>合同进度计划的修订</w:t>
      </w:r>
    </w:p>
    <w:p w14:paraId="5F6BC05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删除通用条款本款原内容，改为：</w:t>
      </w:r>
    </w:p>
    <w:p w14:paraId="260B0A0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应在确保合同工期的前提下，每1个月对进度计划进行一次修订，并应在前一个进度计划的最后一个月的25日前提交给监理人和发包人。施工过程中，如果监理人和发包人认为有必要或者工程的实际进度不符合要求，监理人和发包人可要求承包人每一个月提交一次工程进度修订计划，以确保工程在预定工期内竣工。在这种情况下，承包人应在接到监理人和发包人指令后的14天内将修订后的进度计划提交给监理人和发包人。修改后的工程进度计划，仍应保证本合同工程在合同规定的工期内完成。</w:t>
      </w:r>
    </w:p>
    <w:p w14:paraId="3BD9143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在合同总工期未变的前提下，发包人或监理人根据工程实际情况或他认为有必要的任何其它理由而对工程分阶段所进行的进度计划调整，承包人应无条件地服从。由此而可能引起工程费用投入的变化发包人将不另考虑。”</w:t>
      </w:r>
    </w:p>
    <w:p w14:paraId="7B54CB47">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11. </w:t>
      </w:r>
      <w:r>
        <w:rPr>
          <w:rFonts w:hint="eastAsia" w:ascii="宋体" w:hAnsi="宋体" w:cs="宋体"/>
          <w:b/>
          <w:color w:val="000000"/>
          <w:highlight w:val="none"/>
        </w:rPr>
        <w:t>开工和竣工</w:t>
      </w:r>
    </w:p>
    <w:p w14:paraId="0582B93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11.1 </w:t>
      </w:r>
      <w:r>
        <w:rPr>
          <w:rFonts w:hint="eastAsia" w:ascii="宋体" w:hAnsi="宋体" w:cs="宋体"/>
          <w:b/>
          <w:color w:val="000000"/>
          <w:highlight w:val="none"/>
        </w:rPr>
        <w:t>开工</w:t>
      </w:r>
    </w:p>
    <w:p w14:paraId="5FA94D3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删除通用条款本款原内容，改为：</w:t>
      </w:r>
    </w:p>
    <w:p w14:paraId="21E1523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“工程开工分项目开工和分部工程开工两种：</w:t>
      </w:r>
    </w:p>
    <w:p w14:paraId="2CB4CA3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项目开工：承包人应在签订合同协议书后14天内向监理人提交开工报告，主要内容应包括：施工管理机构的建立，劳务、机械设备、材料的进场情况，临时设施的修建及总体施工组织设计等。开工报告经监理人审查通过并报发包人同意后，由监理人发出项目开工通知，工期自监理人发出开工令之日起计算。承包人应在开工日期后应尽快连续的施工。</w:t>
      </w:r>
    </w:p>
    <w:p w14:paraId="3176AB6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分部工程开工：承包人应在分部工程开工前14天向监理人提交分部工程开工报告，若承包人的开工准备、工作计划和质量控制方法是可接受的且已获得批准，分部工程开工报告经监理人通过并报发包人同意后，分部工程才能开工。”</w:t>
      </w:r>
    </w:p>
    <w:p w14:paraId="1D155CD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11.3</w:t>
      </w:r>
      <w:r>
        <w:rPr>
          <w:rFonts w:hint="eastAsia" w:ascii="宋体" w:hAnsi="宋体" w:cs="宋体"/>
          <w:b/>
          <w:color w:val="000000"/>
          <w:highlight w:val="none"/>
        </w:rPr>
        <w:t>发包人的工期延误</w:t>
      </w:r>
    </w:p>
    <w:p w14:paraId="50BA848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本款末增加：</w:t>
      </w:r>
    </w:p>
    <w:p w14:paraId="13ABAB6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由于发包人的延误或阻碍，影响关键线路变化的，工期延长，费用不调整；不影响关键线路变化的，工期、费用均不调整。</w:t>
      </w:r>
    </w:p>
    <w:p w14:paraId="29875CE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11.4 </w:t>
      </w:r>
      <w:r>
        <w:rPr>
          <w:rFonts w:hint="eastAsia" w:ascii="宋体" w:hAnsi="宋体" w:cs="宋体"/>
          <w:b/>
          <w:color w:val="000000"/>
          <w:highlight w:val="none"/>
        </w:rPr>
        <w:t>异常恶劣的气候条件</w:t>
      </w:r>
    </w:p>
    <w:p w14:paraId="45424AF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删除通用条款本款原内容，改为：</w:t>
      </w:r>
    </w:p>
    <w:p w14:paraId="7E5C98AB">
      <w:pPr>
        <w:pageBreakBefore w:val="0"/>
        <w:kinsoku/>
        <w:wordWrap/>
        <w:overflowPunct/>
        <w:topLinePunct w:val="0"/>
        <w:bidi w:val="0"/>
        <w:adjustRightInd w:val="0"/>
        <w:snapToGrid w:val="0"/>
        <w:spacing w:line="360" w:lineRule="auto"/>
        <w:ind w:firstLine="422" w:firstLineChars="200"/>
        <w:rPr>
          <w:rFonts w:ascii="宋体" w:hAnsi="宋体" w:cs="宋体"/>
          <w:b/>
          <w:color w:val="000000"/>
          <w:highlight w:val="none"/>
        </w:rPr>
      </w:pPr>
      <w:r>
        <w:rPr>
          <w:rFonts w:hint="eastAsia" w:ascii="宋体" w:hAnsi="宋体" w:cs="宋体"/>
          <w:b/>
          <w:color w:val="000000"/>
          <w:highlight w:val="none"/>
        </w:rPr>
        <w:t>承包人应充分研究、估计本工程实施中的各项异常恶劣的气候条件及各项风险，合理计划安排，采取相应措施保证工期，由于气候条件影响的工期不予延长。</w:t>
      </w:r>
    </w:p>
    <w:p w14:paraId="351E6E8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11.5 </w:t>
      </w:r>
      <w:r>
        <w:rPr>
          <w:rFonts w:hint="eastAsia" w:ascii="宋体" w:hAnsi="宋体" w:cs="宋体"/>
          <w:b/>
          <w:color w:val="000000"/>
          <w:highlight w:val="none"/>
        </w:rPr>
        <w:t>承包人的工期延误</w:t>
      </w:r>
    </w:p>
    <w:p w14:paraId="3CF0E14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通用条款本款内容修改为：“</w:t>
      </w:r>
      <w:r>
        <w:rPr>
          <w:rFonts w:hint="eastAsia" w:ascii="宋体" w:hAnsi="宋体" w:cs="宋体"/>
          <w:color w:val="000000"/>
          <w:kern w:val="0"/>
          <w:highlight w:val="none"/>
        </w:rPr>
        <w:t>由于承包人原因，未能按合同进度计划完成工作，或监理人和发包人认为承包人施工进度不能满足合同工期要求的，承包人应采取措施加快进度，并承担加快进度所增加的费用。</w:t>
      </w:r>
      <w:r>
        <w:rPr>
          <w:rFonts w:hint="eastAsia" w:ascii="宋体" w:hAnsi="宋体" w:cs="宋体"/>
          <w:b/>
          <w:color w:val="000000"/>
          <w:highlight w:val="none"/>
        </w:rPr>
        <w:t>如果承包人未能按11.2款的工期要求竣工，发包人将对承包人处以逾期竣工违约金，逾期违约金按前附表执行。</w:t>
      </w:r>
    </w:p>
    <w:p w14:paraId="65DEFAB1">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11.6 </w:t>
      </w:r>
      <w:r>
        <w:rPr>
          <w:rFonts w:hint="eastAsia" w:ascii="宋体" w:hAnsi="宋体" w:cs="宋体"/>
          <w:b/>
          <w:color w:val="000000"/>
          <w:highlight w:val="none"/>
        </w:rPr>
        <w:t>工期提前</w:t>
      </w:r>
    </w:p>
    <w:p w14:paraId="232CC0C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删除通用条款本款最后一句“</w:t>
      </w:r>
      <w:r>
        <w:rPr>
          <w:rFonts w:hint="eastAsia" w:ascii="宋体" w:hAnsi="宋体" w:cs="宋体"/>
          <w:b/>
          <w:color w:val="000000"/>
          <w:highlight w:val="none"/>
        </w:rPr>
        <w:t>发包人应承担承包人由此增加的费用，并向承包人支付专用合同条款约定的相应奖金”</w:t>
      </w:r>
      <w:r>
        <w:rPr>
          <w:rFonts w:hint="eastAsia" w:ascii="宋体" w:hAnsi="宋体" w:cs="宋体"/>
          <w:color w:val="000000"/>
          <w:highlight w:val="none"/>
        </w:rPr>
        <w:t>。</w:t>
      </w:r>
    </w:p>
    <w:p w14:paraId="2C15D572">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12.</w:t>
      </w:r>
      <w:r>
        <w:rPr>
          <w:rFonts w:hint="eastAsia" w:ascii="宋体" w:hAnsi="宋体" w:cs="宋体"/>
          <w:b/>
          <w:color w:val="000000"/>
          <w:highlight w:val="none"/>
        </w:rPr>
        <w:t>暂停施工</w:t>
      </w:r>
    </w:p>
    <w:p w14:paraId="4B14974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12.1 </w:t>
      </w:r>
      <w:r>
        <w:rPr>
          <w:rFonts w:hint="eastAsia" w:ascii="宋体" w:hAnsi="宋体" w:cs="宋体"/>
          <w:b/>
          <w:color w:val="000000"/>
          <w:highlight w:val="none"/>
        </w:rPr>
        <w:t>承包人暂停施工的责任</w:t>
      </w:r>
    </w:p>
    <w:p w14:paraId="54F5A6A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通用条款12.1.（2）内容，改为：“为工程合理施工和安全保障所必需的暂停施工；”</w:t>
      </w:r>
    </w:p>
    <w:p w14:paraId="2BAD3B8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通用条款12.1.（5）内容，改为：“由于气候条件引起的的暂停施工；”</w:t>
      </w:r>
    </w:p>
    <w:p w14:paraId="5E2D97D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12.2 </w:t>
      </w:r>
      <w:r>
        <w:rPr>
          <w:rFonts w:hint="eastAsia" w:ascii="宋体" w:hAnsi="宋体" w:cs="宋体"/>
          <w:b/>
          <w:color w:val="000000"/>
          <w:highlight w:val="none"/>
        </w:rPr>
        <w:t>发包人暂停施工的责任</w:t>
      </w:r>
    </w:p>
    <w:p w14:paraId="59FA4AC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通用条款本款内容修改为：“由于发包人原因引起的暂停施工所造成的工期延误的，工期延长，费用不调整。”</w:t>
      </w:r>
    </w:p>
    <w:p w14:paraId="3EE2420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12.4 </w:t>
      </w:r>
      <w:r>
        <w:rPr>
          <w:rFonts w:hint="eastAsia" w:ascii="宋体" w:hAnsi="宋体" w:cs="宋体"/>
          <w:b/>
          <w:color w:val="000000"/>
          <w:highlight w:val="none"/>
        </w:rPr>
        <w:t>暂停施工后的复工</w:t>
      </w:r>
    </w:p>
    <w:p w14:paraId="029E3F8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通用条款12.4.2款内容修改为：“承包人无故拖延和拒绝复工的，由此增加的费用和工期延误由承包人承担；因发包人原因无法按时复工的，工期给予延长，费用不调整。”</w:t>
      </w:r>
    </w:p>
    <w:p w14:paraId="48387790">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color w:val="000000"/>
          <w:highlight w:val="none"/>
        </w:rPr>
        <w:t>13. 工程质量</w:t>
      </w:r>
    </w:p>
    <w:p w14:paraId="5CC1167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13.1</w:t>
      </w:r>
      <w:r>
        <w:rPr>
          <w:rFonts w:hint="eastAsia" w:ascii="宋体" w:hAnsi="宋体" w:cs="宋体"/>
          <w:b/>
          <w:color w:val="000000"/>
          <w:highlight w:val="none"/>
        </w:rPr>
        <w:t>工程质量要求</w:t>
      </w:r>
    </w:p>
    <w:p w14:paraId="3B757A8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13.1.1工程质量要求：达到交通运输部发布的《水运工程质量检验标准》合格等级，且达到江苏省市场监督管理局发布的《内河航道维护技术及质量评定规范》优良等级。</w:t>
      </w:r>
    </w:p>
    <w:p w14:paraId="40E0B9B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13.2 </w:t>
      </w:r>
      <w:r>
        <w:rPr>
          <w:rFonts w:hint="eastAsia" w:ascii="宋体" w:hAnsi="宋体" w:cs="宋体"/>
          <w:b/>
          <w:color w:val="000000"/>
          <w:highlight w:val="none"/>
        </w:rPr>
        <w:t>承包人的质量管理</w:t>
      </w:r>
    </w:p>
    <w:p w14:paraId="2252B8A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4A50FD4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“13.2.3 建立质量责任制。分项施工的现场应实行标示牌管理，写明作业内容和质量要求，要认真执行三检制度，即：自检、互检、工序交接检验制度，要根据合同的规定切实作好隐蔽工程的检查工作。</w:t>
      </w:r>
    </w:p>
    <w:p w14:paraId="2706508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13.2.4 分项工程开工前必须按合同要求执行先试验再铺开的程序。</w:t>
      </w:r>
    </w:p>
    <w:p w14:paraId="623514B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13.2.5 要建立质量奖罚制度，对质量事故要严肃处理，坚持三不放过：事故原因不明不放过，不分清责任不放过，没有改进措施不放过。”</w:t>
      </w:r>
    </w:p>
    <w:p w14:paraId="7DEBC9D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13.3 </w:t>
      </w:r>
      <w:r>
        <w:rPr>
          <w:rFonts w:hint="eastAsia" w:ascii="宋体" w:hAnsi="宋体" w:cs="宋体"/>
          <w:b/>
          <w:color w:val="000000"/>
          <w:highlight w:val="none"/>
        </w:rPr>
        <w:t>承包人的质量检查</w:t>
      </w:r>
    </w:p>
    <w:p w14:paraId="4E548A2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6EFCB68A">
      <w:pPr>
        <w:pageBreakBefore w:val="0"/>
        <w:tabs>
          <w:tab w:val="left" w:pos="1701"/>
        </w:tabs>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“13.3.1 必须完备检验手段，要根据技术规范的规定配齐检测和试验仪器、仪表，并应及时校正确保其精度，要根据合同要求加强工地试验室的管理，要加强标准计量基础工作和材料检验工作，不得违规计量，不合格材料严禁用于本工程。</w:t>
      </w:r>
    </w:p>
    <w:p w14:paraId="43C2875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13.3.2 要加强质量监控，确保规范规定的检验、抽检频率，现场质检的原始资料必须真实、准确、可靠，不得追记，接受质量检查时必须出示原始资料。监理人有指令时，重要的隐蔽工程覆盖前应进行摄像或照相并保存现场记录。”</w:t>
      </w:r>
    </w:p>
    <w:p w14:paraId="14A2672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13.6 </w:t>
      </w:r>
      <w:r>
        <w:rPr>
          <w:rFonts w:hint="eastAsia" w:ascii="宋体" w:hAnsi="宋体" w:cs="宋体"/>
          <w:b/>
          <w:color w:val="000000"/>
          <w:highlight w:val="none"/>
        </w:rPr>
        <w:t>清除不合格工程</w:t>
      </w:r>
    </w:p>
    <w:p w14:paraId="13B56FD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删除通用条款13.6.2款。</w:t>
      </w:r>
    </w:p>
    <w:p w14:paraId="1080EFF6">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14. </w:t>
      </w:r>
      <w:r>
        <w:rPr>
          <w:rFonts w:hint="eastAsia" w:ascii="宋体" w:hAnsi="宋体" w:cs="宋体"/>
          <w:b/>
          <w:color w:val="000000"/>
          <w:highlight w:val="none"/>
        </w:rPr>
        <w:t>试验和检验</w:t>
      </w:r>
    </w:p>
    <w:p w14:paraId="38B6FFF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14.1 </w:t>
      </w:r>
      <w:r>
        <w:rPr>
          <w:rFonts w:hint="eastAsia" w:ascii="宋体" w:hAnsi="宋体" w:cs="宋体"/>
          <w:b/>
          <w:color w:val="000000"/>
          <w:highlight w:val="none"/>
        </w:rPr>
        <w:t>材料</w:t>
      </w:r>
      <w:r>
        <w:rPr>
          <w:rFonts w:hint="eastAsia" w:ascii="宋体" w:hAnsi="宋体" w:cs="宋体"/>
          <w:b/>
          <w:bCs/>
          <w:color w:val="000000"/>
          <w:highlight w:val="none"/>
        </w:rPr>
        <w:t>、</w:t>
      </w:r>
      <w:r>
        <w:rPr>
          <w:rFonts w:hint="eastAsia" w:ascii="宋体" w:hAnsi="宋体" w:cs="宋体"/>
          <w:b/>
          <w:color w:val="000000"/>
          <w:highlight w:val="none"/>
        </w:rPr>
        <w:t>工程设备和工程的试验和检验</w:t>
      </w:r>
    </w:p>
    <w:p w14:paraId="7005ED9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删除通用条款14.1.3款中 “并支付承包人合理利润”内容。</w:t>
      </w:r>
    </w:p>
    <w:p w14:paraId="20166AC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color w:val="000000"/>
          <w:highlight w:val="none"/>
        </w:rPr>
        <w:t>14.2 现场材料试验</w:t>
      </w:r>
    </w:p>
    <w:p w14:paraId="409FA9C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删除通用条款本款原内容，改为：</w:t>
      </w:r>
    </w:p>
    <w:p w14:paraId="6AE3051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“14.2.1 所有用于本工程的材料和设备进场以前，承包人必须向监理人提交生产厂商出具的质量合格证书和承包人检验合格证书，证明材料、设备质量符合本合同技术标准和要求的规定，以供监理人审核、批准，并报发包人备案。</w:t>
      </w:r>
    </w:p>
    <w:p w14:paraId="11F1305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14.2.2 承包人应随时按监理人的指令在制造、加工或施工现场对材料和设备进行检验。 </w:t>
      </w:r>
    </w:p>
    <w:p w14:paraId="4E77A06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14.2.3 承包人应为监理人对材料或设备的检验提供一切必要的协助，在材料用于工程之前，承包人应按监理人以及发包人的要求提供材料样品以供检验。</w:t>
      </w:r>
    </w:p>
    <w:p w14:paraId="0CAF118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14.2.4所有施工操作工艺均应符合本合同的规定，或监理人的指令。”</w:t>
      </w:r>
    </w:p>
    <w:p w14:paraId="1CF84E5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14.4 </w:t>
      </w:r>
      <w:r>
        <w:rPr>
          <w:rFonts w:hint="eastAsia" w:ascii="宋体" w:hAnsi="宋体" w:cs="宋体"/>
          <w:b/>
          <w:color w:val="000000"/>
          <w:highlight w:val="none"/>
        </w:rPr>
        <w:t>进场材料试验和检验</w:t>
      </w:r>
    </w:p>
    <w:p w14:paraId="573B535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增加本款内容：</w:t>
      </w:r>
    </w:p>
    <w:p w14:paraId="2DE79F2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(1)承包人应负责提供进行试验和检验所需的全部样品，并提供试验和检验条件。</w:t>
      </w:r>
    </w:p>
    <w:p w14:paraId="415CE0C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如果监理人所要求做的检(试)验或是在该材料或工程设备的制造、加工、制配场地以外的场所进行的，则检验结束后，如表明操作工艺或材料、工程设备未能符合合同规定，其费用应由承包人承担，否则，由发包人另行支付。</w:t>
      </w:r>
    </w:p>
    <w:p w14:paraId="0B21407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(3)发包人以及上级部门组织工程检查并发现不合格时，发包人除对承包人、监理人按规定进行处理外，所有检查费用由承包人承担。</w:t>
      </w:r>
    </w:p>
    <w:p w14:paraId="08A1F4B8">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color w:val="000000"/>
          <w:highlight w:val="none"/>
        </w:rPr>
        <w:t>15. 变更</w:t>
      </w:r>
    </w:p>
    <w:p w14:paraId="5A55B2B2">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15.3.1 变更的提出</w:t>
      </w:r>
    </w:p>
    <w:p w14:paraId="3561E08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3CB1923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(5)若取消工程量清单中某一子目工作，则该子目的费用不予支付；”</w:t>
      </w:r>
    </w:p>
    <w:p w14:paraId="7BB743B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15.4 </w:t>
      </w:r>
      <w:r>
        <w:rPr>
          <w:rFonts w:hint="eastAsia" w:ascii="宋体" w:hAnsi="宋体" w:cs="宋体"/>
          <w:b/>
          <w:color w:val="000000"/>
          <w:highlight w:val="none"/>
        </w:rPr>
        <w:t>变更的估价原则</w:t>
      </w:r>
    </w:p>
    <w:p w14:paraId="5B6EBF7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本款补充：</w:t>
      </w:r>
    </w:p>
    <w:p w14:paraId="44F230F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15.4.4 如果本工程的变更指示是因承包人过错、承包人违反合同或承包人责任造成的，则这种违约引起的任何额外费用应由承包人承担。</w:t>
      </w:r>
    </w:p>
    <w:p w14:paraId="03371CB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15.5 承包人的合理化建议</w:t>
      </w:r>
    </w:p>
    <w:p w14:paraId="2509AD4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15.5.2 承包人提出的合理化建议的奖励办法：由发包人与承包人按照实际效益协商确定。</w:t>
      </w:r>
    </w:p>
    <w:p w14:paraId="2D5B42A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15.6 暂列金额</w:t>
      </w:r>
    </w:p>
    <w:p w14:paraId="343EC7B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暂列金额只能按照监理人的指示使用，并对合同价格进行相应调整。</w:t>
      </w:r>
    </w:p>
    <w:p w14:paraId="0F59838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15.7</w:t>
      </w:r>
      <w:r>
        <w:rPr>
          <w:rFonts w:hint="eastAsia" w:ascii="宋体" w:hAnsi="宋体" w:cs="宋体"/>
          <w:b/>
          <w:color w:val="000000"/>
          <w:highlight w:val="none"/>
        </w:rPr>
        <w:t>计日工</w:t>
      </w:r>
    </w:p>
    <w:p w14:paraId="5BDF2A7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删除通用条款本款全文。</w:t>
      </w:r>
    </w:p>
    <w:p w14:paraId="17AF16B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color w:val="000000"/>
          <w:highlight w:val="none"/>
        </w:rPr>
      </w:pPr>
      <w:r>
        <w:rPr>
          <w:rFonts w:hint="eastAsia" w:ascii="宋体" w:hAnsi="宋体" w:cs="宋体"/>
          <w:b/>
          <w:color w:val="000000"/>
          <w:highlight w:val="none"/>
        </w:rPr>
        <w:t>15.9款 工程变更</w:t>
      </w:r>
    </w:p>
    <w:p w14:paraId="64FABDEE">
      <w:pPr>
        <w:pageBreakBefore w:val="0"/>
        <w:kinsoku/>
        <w:wordWrap/>
        <w:overflowPunct/>
        <w:topLinePunct w:val="0"/>
        <w:bidi w:val="0"/>
        <w:adjustRightInd w:val="0"/>
        <w:snapToGrid w:val="0"/>
        <w:spacing w:line="360" w:lineRule="auto"/>
        <w:ind w:firstLine="422" w:firstLineChars="200"/>
        <w:rPr>
          <w:rFonts w:ascii="宋体" w:hAnsi="宋体" w:cs="宋体"/>
          <w:color w:val="000000"/>
          <w:highlight w:val="none"/>
        </w:rPr>
      </w:pPr>
      <w:r>
        <w:rPr>
          <w:rFonts w:hint="eastAsia" w:ascii="宋体" w:hAnsi="宋体" w:cs="宋体"/>
          <w:b/>
          <w:color w:val="000000"/>
          <w:highlight w:val="none"/>
        </w:rPr>
        <w:t>增加15.9款：工程变更</w:t>
      </w:r>
    </w:p>
    <w:p w14:paraId="3C016EA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1.施工过程中，出现下列情况时，可以进行工程项目的增减、结构形式的局部更改、结构物位置的变动等工程变更。</w:t>
      </w:r>
    </w:p>
    <w:p w14:paraId="36F5FA2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（1）发包人认为有必要提出的工程变更；</w:t>
      </w:r>
    </w:p>
    <w:p w14:paraId="025C485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（2）施工中发现设计图纸有错误、遗漏者；</w:t>
      </w:r>
    </w:p>
    <w:p w14:paraId="475A1BB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（3）施工中发现地质条件与设计图纸不符，工程不变更就不能保证其质量者；</w:t>
      </w:r>
    </w:p>
    <w:p w14:paraId="5552A0D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（4）施工中附近建筑物或环境发生变化，不变更将影响总体布置或其它已有建筑物者。</w:t>
      </w:r>
    </w:p>
    <w:p w14:paraId="5C1B820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2.发包人提出的工程变更，由监理人向承包人下达变更令后执行。</w:t>
      </w:r>
    </w:p>
    <w:p w14:paraId="234DB7B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承包人提出的工程变更，必须报经监理人审查批准，必要时报发包人同意。复杂的工程变更，或其变更涉及或影响到主体工程结构的变化，应经由监理人会同原设计单位研究解决，重大的变更应由原设计单位进行变更设计，并应按设计文件报批程序进行审批。所有的工程变更均须由监理人向承包人下达变更令后执行。</w:t>
      </w:r>
    </w:p>
    <w:p w14:paraId="6ACC7B1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4.由于工程变更而出现的工程价格、工期等问题，应按合同条款第15、16条的规定办理。</w:t>
      </w:r>
    </w:p>
    <w:p w14:paraId="1A74E4A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16. </w:t>
      </w:r>
      <w:r>
        <w:rPr>
          <w:rFonts w:hint="eastAsia" w:ascii="宋体" w:hAnsi="宋体" w:cs="宋体"/>
          <w:b/>
          <w:color w:val="000000"/>
          <w:highlight w:val="none"/>
        </w:rPr>
        <w:t>价格调整</w:t>
      </w:r>
    </w:p>
    <w:p w14:paraId="76CC6649">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16.1 </w:t>
      </w:r>
      <w:r>
        <w:rPr>
          <w:rFonts w:hint="eastAsia" w:ascii="宋体" w:hAnsi="宋体" w:cs="宋体"/>
          <w:b/>
          <w:color w:val="000000"/>
          <w:highlight w:val="none"/>
        </w:rPr>
        <w:t>物价波动引起的价格调整</w:t>
      </w:r>
    </w:p>
    <w:p w14:paraId="3B04F627">
      <w:pPr>
        <w:pageBreakBefore w:val="0"/>
        <w:kinsoku/>
        <w:wordWrap/>
        <w:overflowPunct/>
        <w:topLinePunct w:val="0"/>
        <w:bidi w:val="0"/>
        <w:adjustRightInd w:val="0"/>
        <w:snapToGrid w:val="0"/>
        <w:spacing w:line="360" w:lineRule="auto"/>
        <w:ind w:firstLine="422" w:firstLineChars="200"/>
        <w:rPr>
          <w:rFonts w:ascii="宋体" w:hAnsi="宋体" w:cs="宋体"/>
          <w:b/>
          <w:color w:val="000000"/>
          <w:highlight w:val="none"/>
        </w:rPr>
      </w:pPr>
      <w:r>
        <w:rPr>
          <w:rFonts w:hint="eastAsia" w:ascii="宋体" w:hAnsi="宋体" w:cs="宋体"/>
          <w:b/>
          <w:color w:val="000000"/>
          <w:highlight w:val="none"/>
        </w:rPr>
        <w:t>本款细化为：</w:t>
      </w:r>
    </w:p>
    <w:p w14:paraId="452550E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由于人工和设备等价格波动以及材料价格波动影响合同价格时，合同价格一律不予调整。</w:t>
      </w:r>
    </w:p>
    <w:p w14:paraId="602300D7">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color w:val="000000"/>
          <w:highlight w:val="none"/>
        </w:rPr>
        <w:t>17. 计量与支付</w:t>
      </w:r>
    </w:p>
    <w:p w14:paraId="158CE74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17.1计量</w:t>
      </w:r>
    </w:p>
    <w:p w14:paraId="69C86FA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17.1.2计量方法</w:t>
      </w:r>
    </w:p>
    <w:p w14:paraId="151ACED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04BAD4B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工程量清单及技术规范的计量符合下列规定：</w:t>
      </w:r>
    </w:p>
    <w:p w14:paraId="5A40C0F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（1）本技术标准和要求所有工程项目，除个别注明者外，均采用中国法定的计量单位，即国际单位及国际单位制导出的辅助单位进行计量；</w:t>
      </w:r>
    </w:p>
    <w:p w14:paraId="3765E72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（2）本技术标准和要求的计量与支付，应与合同条款、工程量清单以及图纸同时阅读，工程量清单中的支付项目号和本技术标准和要求的章节编号是一致的；</w:t>
      </w:r>
    </w:p>
    <w:p w14:paraId="589DA0B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（3）任何工程项目的计量，均应按本技术标准和要求规定或监理人书面指示进行；</w:t>
      </w:r>
    </w:p>
    <w:p w14:paraId="7D1E69D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按合同提供的材料数量和完成的工程量所采用的测量与计算方法，应符合本技术标准和要求的规定。所有这些方法，应经监理人批准或指令。承包人应提供一切计量设备和条件，并保证其设备精度符合要求；</w:t>
      </w:r>
    </w:p>
    <w:p w14:paraId="244CE8F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（5）除非监理人另有准许，一切计量工作都应在监理人在场的情况下，由承包人测量、记录。有承包人签名的计量记录原本，应提交给监理人审查和保存；</w:t>
      </w:r>
    </w:p>
    <w:p w14:paraId="2B72FB2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（6）工程量应由承包人计算，由监理人审核。工程量计算的副本应提交给监理人并由监理人保存；</w:t>
      </w:r>
    </w:p>
    <w:p w14:paraId="533BE51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（7）全部必需的模板、脚手架、装备、机具、螺栓、垫圈和钢制件等其他材料，应包括在工程量清单中所列的有关支付项目中，均不单独计量；</w:t>
      </w:r>
    </w:p>
    <w:p w14:paraId="6D4B69A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（8）除监理人另有批准外，凡超过图纸所示的面积或体积，都不予计量与支付；</w:t>
      </w:r>
    </w:p>
    <w:p w14:paraId="6226A1F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9）承包人应严格标准计量基础工作和材料采购检验工作。水泥混凝土、高强度水泥砂浆、沥青混凝土、沥青碎石的施工现场必须使用电子计量设备称重。因不符合计量规定引发的质量问题，所发生的费用由承包人承担；</w:t>
      </w:r>
    </w:p>
    <w:p w14:paraId="0262666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（10）如本技术标准和要求规定的任何分项工程或其细目未在工程量清单中出现，则应被认为是其他相关工程的附属工作，不再另行计量。</w:t>
      </w:r>
    </w:p>
    <w:p w14:paraId="3BB0224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17.1.4 单价子目的计量</w:t>
      </w:r>
    </w:p>
    <w:p w14:paraId="022148B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通用条款本款增加：</w:t>
      </w:r>
    </w:p>
    <w:p w14:paraId="16A65BE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(7)承包人未在已标价工程量清单中填入单价或总额价的工程子目，将被认为其己包含在本合同的其他子目的单价和总额价中，发包人将不另行支付。</w:t>
      </w:r>
    </w:p>
    <w:p w14:paraId="1ED65102">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highlight w:val="none"/>
        </w:rPr>
      </w:pPr>
      <w:r>
        <w:rPr>
          <w:rFonts w:hint="eastAsia" w:ascii="宋体" w:hAnsi="宋体" w:cs="宋体"/>
          <w:b/>
          <w:bCs/>
          <w:highlight w:val="none"/>
        </w:rPr>
        <w:t xml:space="preserve">17.2 </w:t>
      </w:r>
      <w:r>
        <w:rPr>
          <w:rFonts w:hint="eastAsia" w:ascii="宋体" w:hAnsi="宋体" w:cs="宋体"/>
          <w:b/>
          <w:highlight w:val="none"/>
        </w:rPr>
        <w:t>预付款</w:t>
      </w:r>
    </w:p>
    <w:p w14:paraId="56607775">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cs="宋体"/>
          <w:b w:val="0"/>
          <w:bCs w:val="0"/>
          <w:color w:val="000000"/>
          <w:highlight w:val="none"/>
        </w:rPr>
      </w:pPr>
      <w:r>
        <w:rPr>
          <w:rFonts w:hint="eastAsia" w:ascii="宋体" w:hAnsi="宋体" w:cs="宋体"/>
          <w:color w:val="000000"/>
          <w:highlight w:val="none"/>
          <w:lang w:val="en-US" w:eastAsia="zh-CN"/>
        </w:rPr>
        <w:t>本项目不设</w:t>
      </w:r>
      <w:r>
        <w:rPr>
          <w:rFonts w:hint="eastAsia" w:ascii="宋体" w:hAnsi="宋体" w:cs="宋体"/>
          <w:color w:val="000000"/>
          <w:highlight w:val="none"/>
        </w:rPr>
        <w:t>预付款</w:t>
      </w:r>
      <w:r>
        <w:rPr>
          <w:rFonts w:hint="eastAsia" w:ascii="宋体" w:hAnsi="宋体" w:cs="宋体"/>
          <w:b w:val="0"/>
          <w:bCs w:val="0"/>
          <w:color w:val="000000"/>
          <w:highlight w:val="none"/>
        </w:rPr>
        <w:t>。</w:t>
      </w:r>
    </w:p>
    <w:p w14:paraId="78707A3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17.3 工程进度付款</w:t>
      </w:r>
    </w:p>
    <w:p w14:paraId="24796E3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17.3.</w:t>
      </w:r>
      <w:r>
        <w:rPr>
          <w:rFonts w:ascii="宋体" w:hAnsi="宋体" w:cs="宋体"/>
          <w:color w:val="000000"/>
          <w:highlight w:val="none"/>
        </w:rPr>
        <w:t xml:space="preserve">5 </w:t>
      </w:r>
      <w:r>
        <w:rPr>
          <w:rFonts w:hint="eastAsia" w:ascii="宋体" w:hAnsi="宋体"/>
          <w:highlight w:val="none"/>
        </w:rPr>
        <w:t>本项目的工程进度付款如下：</w:t>
      </w:r>
      <w:r>
        <w:rPr>
          <w:rFonts w:hint="eastAsia" w:ascii="宋体" w:hAnsi="宋体" w:cs="宋体"/>
          <w:color w:val="000000"/>
          <w:highlight w:val="none"/>
          <w:lang w:val="en-US" w:eastAsia="zh-CN"/>
        </w:rPr>
        <w:t>项目</w:t>
      </w:r>
      <w:r>
        <w:rPr>
          <w:rFonts w:hint="eastAsia" w:ascii="宋体" w:hAnsi="宋体" w:cs="宋体"/>
          <w:color w:val="000000"/>
          <w:highlight w:val="none"/>
        </w:rPr>
        <w:t>通过工程</w:t>
      </w:r>
      <w:r>
        <w:rPr>
          <w:rFonts w:hint="eastAsia" w:ascii="宋体" w:hAnsi="宋体" w:cs="宋体"/>
          <w:color w:val="000000"/>
          <w:highlight w:val="none"/>
          <w:lang w:val="en-US" w:eastAsia="zh-CN"/>
        </w:rPr>
        <w:t>交（</w:t>
      </w:r>
      <w:r>
        <w:rPr>
          <w:rFonts w:hint="eastAsia" w:ascii="宋体" w:hAnsi="宋体" w:cs="宋体"/>
          <w:color w:val="000000"/>
          <w:highlight w:val="none"/>
        </w:rPr>
        <w:t>竣</w:t>
      </w:r>
      <w:r>
        <w:rPr>
          <w:rFonts w:hint="eastAsia" w:ascii="宋体" w:hAnsi="宋体" w:cs="宋体"/>
          <w:color w:val="000000"/>
          <w:highlight w:val="none"/>
          <w:lang w:val="en-US" w:eastAsia="zh-CN"/>
        </w:rPr>
        <w:t>）</w:t>
      </w:r>
      <w:r>
        <w:rPr>
          <w:rFonts w:hint="eastAsia" w:ascii="宋体" w:hAnsi="宋体" w:cs="宋体"/>
          <w:color w:val="000000"/>
          <w:highlight w:val="none"/>
        </w:rPr>
        <w:t>工验收并达到质量要求且工程结算审核报告已经确认后支付至审定价的97%；余款在缺陷责任期满后付清；支付工程款的同时要求承包人向发包人提供有效发票。以上付款均不计利息。</w:t>
      </w:r>
    </w:p>
    <w:p w14:paraId="151C8F8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17.4 质量保证金</w:t>
      </w:r>
    </w:p>
    <w:p w14:paraId="60B43729">
      <w:pPr>
        <w:keepNext/>
        <w:keepLines/>
        <w:pageBreakBefore w:val="0"/>
        <w:kinsoku/>
        <w:wordWrap/>
        <w:overflowPunct/>
        <w:topLinePunct w:val="0"/>
        <w:bidi w:val="0"/>
        <w:adjustRightInd w:val="0"/>
        <w:snapToGrid w:val="0"/>
        <w:spacing w:line="360" w:lineRule="auto"/>
        <w:ind w:firstLine="420" w:firstLineChars="200"/>
        <w:jc w:val="left"/>
        <w:textAlignment w:val="baseline"/>
        <w:outlineLvl w:val="6"/>
        <w:rPr>
          <w:rFonts w:ascii="宋体" w:hAnsi="宋体" w:cs="宋体"/>
          <w:color w:val="000000"/>
          <w:highlight w:val="none"/>
        </w:rPr>
      </w:pPr>
      <w:r>
        <w:rPr>
          <w:rFonts w:hint="eastAsia" w:ascii="宋体" w:hAnsi="宋体" w:cs="宋体"/>
          <w:color w:val="000000"/>
          <w:highlight w:val="none"/>
        </w:rPr>
        <w:t>17.4.1 删除通用条款内容并进行调整，具体详见专用合同条款数据表。</w:t>
      </w:r>
    </w:p>
    <w:p w14:paraId="40CC934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17.4.2 在第1.1.4.5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6713F3F2">
      <w:pPr>
        <w:pageBreakBefore w:val="0"/>
        <w:kinsoku/>
        <w:wordWrap/>
        <w:overflowPunct/>
        <w:topLinePunct w:val="0"/>
        <w:bidi w:val="0"/>
        <w:adjustRightInd w:val="0"/>
        <w:snapToGrid w:val="0"/>
        <w:spacing w:line="360" w:lineRule="auto"/>
        <w:ind w:firstLine="420" w:firstLineChars="200"/>
        <w:rPr>
          <w:highlight w:val="none"/>
        </w:rPr>
      </w:pPr>
      <w:r>
        <w:rPr>
          <w:rFonts w:hint="eastAsia" w:ascii="宋体" w:hAnsi="宋体" w:cs="宋体"/>
          <w:color w:val="000000"/>
          <w:highlight w:val="none"/>
        </w:rPr>
        <w:t>17.4.3 在第1.1.4.5 目约定的缺陷责任期满时，承包人没有完成缺陷责任的，发包人有权扣留与未履行责任剩余工作所需金额相应的质量保证金余额，并有权根据第19.3款约定要求延长缺陷责任期，直至完成剩余工作为止。</w:t>
      </w:r>
    </w:p>
    <w:p w14:paraId="5BF7147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17.5 竣工结算</w:t>
      </w:r>
    </w:p>
    <w:p w14:paraId="27AFABD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17.5.1</w:t>
      </w:r>
      <w:r>
        <w:rPr>
          <w:rFonts w:hint="eastAsia" w:ascii="宋体" w:hAnsi="宋体" w:cs="宋体"/>
          <w:color w:val="000000"/>
          <w:kern w:val="0"/>
          <w:highlight w:val="none"/>
        </w:rPr>
        <w:t>竣工付款申请单</w:t>
      </w:r>
    </w:p>
    <w:p w14:paraId="252E0DC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在合同工程通过竣工验收后28天内，承包人向监理人提交一份竣工结算文件即竣工付款申请单和相关证明文件，竣工付款申请单应包括下列内容：竣工结算合同总价、发包人已支付承包人的工程价款、应支付的竣工付款金额以及承包人根据合同规定认为应该付给他的任何其他的款项。</w:t>
      </w:r>
    </w:p>
    <w:p w14:paraId="2D99C73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（2）监理人对竣工付款申请单有异议的，有权要求承包人进行修正和提供补充资料。经监理人和承包人协商后，由承包人向监理人提交修正后的竣工付款申请单。</w:t>
      </w:r>
    </w:p>
    <w:p w14:paraId="54E7E406">
      <w:pPr>
        <w:pageBreakBefore w:val="0"/>
        <w:kinsoku/>
        <w:wordWrap/>
        <w:overflowPunct/>
        <w:topLinePunct w:val="0"/>
        <w:bidi w:val="0"/>
        <w:adjustRightInd w:val="0"/>
        <w:snapToGrid w:val="0"/>
        <w:spacing w:line="360"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17.5.2竣工付款证书及支付时间</w:t>
      </w:r>
    </w:p>
    <w:p w14:paraId="3AAB2C1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（1）监理人在收到承包人提交的竣工付款申请单后的14 天内完成核查，提出发包人到期应支付给承包人的价款送发包人审核并抄送承包人。说明：</w:t>
      </w:r>
    </w:p>
    <w:p w14:paraId="1456007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a、监理人认为根据合同规定的最后应付的款项；以及</w:t>
      </w:r>
    </w:p>
    <w:p w14:paraId="750E092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b、在对发包人以前所付的全部款项和发包人根据合同规定应得的全部款项予以确认后，发包人欠承包人或承包人欠发包人的差额(如有)。</w:t>
      </w:r>
    </w:p>
    <w:p w14:paraId="394E7BB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发包人应在收到后28 天内审核完毕，由监理人向承包人出具经发包人签认的竣工付款证书。</w:t>
      </w:r>
    </w:p>
    <w:p w14:paraId="0A2B00A7">
      <w:pPr>
        <w:pageBreakBefore w:val="0"/>
        <w:kinsoku/>
        <w:wordWrap/>
        <w:overflowPunct/>
        <w:topLinePunct w:val="0"/>
        <w:bidi w:val="0"/>
        <w:adjustRightInd w:val="0"/>
        <w:snapToGrid w:val="0"/>
        <w:spacing w:line="360" w:lineRule="auto"/>
        <w:ind w:firstLine="420" w:firstLineChars="200"/>
        <w:rPr>
          <w:rFonts w:ascii="宋体" w:hAnsi="宋体" w:cs="宋体"/>
          <w:color w:val="000000"/>
          <w:kern w:val="0"/>
          <w:highlight w:val="none"/>
        </w:rPr>
      </w:pPr>
      <w:r>
        <w:rPr>
          <w:rFonts w:hint="eastAsia" w:ascii="宋体" w:hAnsi="宋体" w:cs="宋体"/>
          <w:color w:val="000000"/>
          <w:highlight w:val="none"/>
        </w:rPr>
        <w:t>（2）发包人应在监理人出具竣工付款证书后的28天內，将以上竣工结算款项支付给承包人。</w:t>
      </w:r>
    </w:p>
    <w:p w14:paraId="1757FC8D">
      <w:pPr>
        <w:pageBreakBefore w:val="0"/>
        <w:kinsoku/>
        <w:wordWrap/>
        <w:overflowPunct/>
        <w:topLinePunct w:val="0"/>
        <w:bidi w:val="0"/>
        <w:adjustRightInd w:val="0"/>
        <w:snapToGrid w:val="0"/>
        <w:spacing w:line="360"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（3）承包人对发包人签认的竣工付款证书有异议的，发包人可出具竣工付款申请单中承包人已同意部分的临时付款证书。存在争议的部分，按第24 条的约定办理。</w:t>
      </w:r>
    </w:p>
    <w:p w14:paraId="423CD7B1">
      <w:pPr>
        <w:pageBreakBefore w:val="0"/>
        <w:kinsoku/>
        <w:wordWrap/>
        <w:overflowPunct/>
        <w:topLinePunct w:val="0"/>
        <w:bidi w:val="0"/>
        <w:adjustRightInd w:val="0"/>
        <w:snapToGrid w:val="0"/>
        <w:spacing w:line="360"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（4）竣工付款涉及政府投资资金的，按第17.3.3（４）目的约定办理。</w:t>
      </w:r>
    </w:p>
    <w:p w14:paraId="43E7D90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17．6最终结清</w:t>
      </w:r>
    </w:p>
    <w:p w14:paraId="4052156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17.6.1最终结清申请单</w:t>
      </w:r>
    </w:p>
    <w:p w14:paraId="7D22298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 承包人内向监理人提交最终结清申请单(包括相关证明材料)的份数：</w:t>
      </w:r>
      <w:r>
        <w:rPr>
          <w:rFonts w:hint="eastAsia" w:ascii="宋体" w:hAnsi="宋体" w:cs="宋体"/>
          <w:color w:val="000000"/>
          <w:highlight w:val="none"/>
          <w:u w:val="single"/>
        </w:rPr>
        <w:t>一式六份。</w:t>
      </w:r>
      <w:r>
        <w:rPr>
          <w:rFonts w:hint="eastAsia" w:ascii="宋体" w:hAnsi="宋体" w:cs="宋体"/>
          <w:color w:val="000000"/>
          <w:highlight w:val="none"/>
        </w:rPr>
        <w:t>最终结清申请单中的总金额应认为是代表了根据合同规定应付给承包人的全部款项的最后结算。</w:t>
      </w:r>
    </w:p>
    <w:p w14:paraId="6010F74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color w:val="000000"/>
          <w:highlight w:val="none"/>
        </w:rPr>
        <w:t>18  竣工验收</w:t>
      </w:r>
    </w:p>
    <w:p w14:paraId="42C273A0">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18.1 竣工验收的含义</w:t>
      </w:r>
    </w:p>
    <w:p w14:paraId="274B0A5E">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本款增加第18.1.4项</w:t>
      </w:r>
    </w:p>
    <w:p w14:paraId="699961B6">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18.1.4 交(竣)工验收按照交通运输部发布的《水运工程质量检验标准》和江苏省市场监督管理局发布的《内河航道维护技术及质量评定规范》等相关规定执行。</w:t>
      </w:r>
    </w:p>
    <w:p w14:paraId="47E902E1">
      <w:pPr>
        <w:pStyle w:val="27"/>
        <w:pageBreakBefore w:val="0"/>
        <w:tabs>
          <w:tab w:val="left" w:pos="6326"/>
        </w:tabs>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18.3  验收</w:t>
      </w:r>
      <w:r>
        <w:rPr>
          <w:rFonts w:hint="eastAsia" w:hAnsi="宋体"/>
          <w:b/>
          <w:snapToGrid w:val="0"/>
          <w:kern w:val="0"/>
          <w:sz w:val="21"/>
          <w:szCs w:val="21"/>
          <w:highlight w:val="none"/>
        </w:rPr>
        <w:tab/>
      </w:r>
    </w:p>
    <w:p w14:paraId="0DA66459">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18.3.2 项补充</w:t>
      </w:r>
    </w:p>
    <w:p w14:paraId="4FEFF12C">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竣工验收由发包人主持，由发包人、监理人、质监、设计、施工、运营、管理、养护等有关部门代表组成竣工验收委员会、对本标段的工程质量进行评定，并写出竣工验收报告报交通主管部门备案。承包人应按发包人的要求提供竣工资料，并完成竣工验收准备工作。</w:t>
      </w:r>
    </w:p>
    <w:p w14:paraId="58DA1160">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18.3.5 项约定为：</w:t>
      </w:r>
    </w:p>
    <w:p w14:paraId="242259B0">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经验收合格工程的实际竣工日期，以最终提交竣工验收申请报告的提起为准，并在工程接收证 书中写明。</w:t>
      </w:r>
    </w:p>
    <w:p w14:paraId="78A2DC9B">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本款增加第 18.3.7 项</w:t>
      </w:r>
    </w:p>
    <w:p w14:paraId="0911CA72">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组织办理竣工验收和签发工程验收证书的费用由发包人承担。但按照 18.3.4 项规定达不到质量要求的竣工验收费用由承包人承担。</w:t>
      </w:r>
    </w:p>
    <w:p w14:paraId="76F3BCB3">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本条增加第 18.9 款：</w:t>
      </w:r>
    </w:p>
    <w:p w14:paraId="5A888A43">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18.9  施工技术总结及竣工文件</w:t>
      </w:r>
    </w:p>
    <w:p w14:paraId="6312ED3F">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承包人应按照《江苏省内河航道养护档案管理办法》的规定编制竣工图表和施工技术总结及竣工文件。各分部(项)工程的竣工图须在有关工程完成后，在竣工验收前 56 天，承包人须将施工技术总结及竣工文件提交监理人审查，全部工程完成后，在全部工程的工程接收证书签发前，承包人须向发包人提交 6 套监理人认为完整、合格的竣工文件。在规定期限内承包人应补充竣工资料， 并提交。</w:t>
      </w:r>
    </w:p>
    <w:p w14:paraId="04180ABF">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承包人须向监理人提交竣工文件。</w:t>
      </w:r>
    </w:p>
    <w:p w14:paraId="0ADC9B1D">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竣工文件要求：</w:t>
      </w:r>
    </w:p>
    <w:p w14:paraId="61AF5DBB">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(1)根据有关规定，本标段档案在竣工验收前必须通过档案专项验收。</w:t>
      </w:r>
    </w:p>
    <w:p w14:paraId="00A3004B">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(2)档案管理职责：负责施工文件和竣工图的收集、整理和归档工作。工程总承包单位对其 分包单位竣工档案负责。</w:t>
      </w:r>
    </w:p>
    <w:p w14:paraId="6FC0CC79">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(3)档案质量：</w:t>
      </w:r>
    </w:p>
    <w:p w14:paraId="0303A5AB">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a、所有归档文件内容真实，数据可靠，签字手续齐全，符合归档要求；</w:t>
      </w:r>
    </w:p>
    <w:p w14:paraId="1297082E">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b、竣工图编制准确、修改到位，签署完备，与实物相符。</w:t>
      </w:r>
    </w:p>
    <w:p w14:paraId="51EF2A1C">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c、档案收集齐全完整，并进行系统整理。案卷质量符合有关标准。</w:t>
      </w:r>
    </w:p>
    <w:p w14:paraId="539CC372">
      <w:pPr>
        <w:pStyle w:val="27"/>
        <w:pageBreakBefore w:val="0"/>
        <w:kinsoku/>
        <w:wordWrap/>
        <w:overflowPunct/>
        <w:topLinePunct w:val="0"/>
        <w:bidi w:val="0"/>
        <w:adjustRightInd w:val="0"/>
        <w:snapToGrid w:val="0"/>
        <w:spacing w:line="360" w:lineRule="auto"/>
        <w:ind w:firstLine="422" w:firstLineChars="200"/>
        <w:rPr>
          <w:rFonts w:hAnsi="宋体"/>
          <w:b/>
          <w:snapToGrid w:val="0"/>
          <w:kern w:val="0"/>
          <w:sz w:val="21"/>
          <w:szCs w:val="21"/>
          <w:highlight w:val="none"/>
        </w:rPr>
      </w:pPr>
      <w:r>
        <w:rPr>
          <w:rFonts w:hint="eastAsia" w:hAnsi="宋体"/>
          <w:b/>
          <w:snapToGrid w:val="0"/>
          <w:kern w:val="0"/>
          <w:sz w:val="21"/>
          <w:szCs w:val="21"/>
          <w:highlight w:val="none"/>
        </w:rPr>
        <w:t>(4)提交档案时间：在项目完成后三个月内向发包人提交。</w:t>
      </w:r>
    </w:p>
    <w:p w14:paraId="7CE83D74">
      <w:pPr>
        <w:pStyle w:val="27"/>
        <w:pageBreakBefore w:val="0"/>
        <w:kinsoku/>
        <w:wordWrap/>
        <w:overflowPunct/>
        <w:topLinePunct w:val="0"/>
        <w:bidi w:val="0"/>
        <w:adjustRightInd w:val="0"/>
        <w:snapToGrid w:val="0"/>
        <w:spacing w:line="360" w:lineRule="auto"/>
        <w:ind w:firstLine="422" w:firstLineChars="200"/>
        <w:rPr>
          <w:rFonts w:hAnsi="宋体"/>
          <w:sz w:val="21"/>
          <w:szCs w:val="21"/>
          <w:highlight w:val="none"/>
        </w:rPr>
      </w:pPr>
      <w:r>
        <w:rPr>
          <w:rFonts w:hint="eastAsia" w:hAnsi="宋体"/>
          <w:b/>
          <w:snapToGrid w:val="0"/>
          <w:kern w:val="0"/>
          <w:sz w:val="21"/>
          <w:szCs w:val="21"/>
          <w:highlight w:val="none"/>
        </w:rPr>
        <w:t>(5)档案数量：竣工文件一式 2 份，竣工图 2 套。</w:t>
      </w:r>
    </w:p>
    <w:p w14:paraId="509883BB">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19. </w:t>
      </w:r>
      <w:r>
        <w:rPr>
          <w:rFonts w:hint="eastAsia" w:ascii="宋体" w:hAnsi="宋体" w:cs="宋体"/>
          <w:b/>
          <w:color w:val="000000"/>
          <w:highlight w:val="none"/>
        </w:rPr>
        <w:t>缺陷责任与保修责任</w:t>
      </w:r>
    </w:p>
    <w:p w14:paraId="1E888AC4">
      <w:pPr>
        <w:pageBreakBefore w:val="0"/>
        <w:kinsoku/>
        <w:wordWrap/>
        <w:overflowPunct/>
        <w:topLinePunct w:val="0"/>
        <w:bidi w:val="0"/>
        <w:adjustRightInd w:val="0"/>
        <w:snapToGrid w:val="0"/>
        <w:spacing w:line="360" w:lineRule="auto"/>
        <w:ind w:firstLine="422" w:firstLineChars="200"/>
        <w:rPr>
          <w:rFonts w:ascii="宋体" w:hAnsi="宋体" w:cs="宋体"/>
          <w:b/>
          <w:bCs/>
          <w:color w:val="000000"/>
          <w:highlight w:val="none"/>
        </w:rPr>
      </w:pPr>
      <w:r>
        <w:rPr>
          <w:rFonts w:hint="eastAsia" w:ascii="宋体" w:hAnsi="宋体" w:cs="宋体"/>
          <w:b/>
          <w:bCs/>
          <w:color w:val="000000"/>
          <w:highlight w:val="none"/>
        </w:rPr>
        <w:t>19.1  缺陷责任期</w:t>
      </w:r>
    </w:p>
    <w:p w14:paraId="3C6F361D">
      <w:pPr>
        <w:pageBreakBefore w:val="0"/>
        <w:kinsoku/>
        <w:wordWrap/>
        <w:overflowPunct/>
        <w:topLinePunct w:val="0"/>
        <w:bidi w:val="0"/>
        <w:adjustRightInd w:val="0"/>
        <w:snapToGrid w:val="0"/>
        <w:spacing w:line="360" w:lineRule="auto"/>
        <w:ind w:firstLine="422" w:firstLineChars="200"/>
        <w:rPr>
          <w:rFonts w:ascii="宋体" w:hAnsi="宋体" w:cs="宋体"/>
          <w:b/>
          <w:bCs/>
          <w:color w:val="000000"/>
          <w:highlight w:val="none"/>
        </w:rPr>
      </w:pPr>
      <w:r>
        <w:rPr>
          <w:rFonts w:hint="eastAsia" w:ascii="宋体" w:hAnsi="宋体" w:cs="宋体"/>
          <w:b/>
          <w:bCs/>
          <w:color w:val="000000"/>
          <w:highlight w:val="none"/>
        </w:rPr>
        <w:t>本标段缺陷责任期为12 个月</w:t>
      </w:r>
      <w:r>
        <w:rPr>
          <w:rFonts w:hint="eastAsia" w:ascii="宋体" w:hAnsi="宋体"/>
          <w:szCs w:val="24"/>
          <w:highlight w:val="none"/>
        </w:rPr>
        <w:t>（自通过</w:t>
      </w:r>
      <w:r>
        <w:rPr>
          <w:rFonts w:hint="eastAsia" w:ascii="宋体" w:hAnsi="宋体"/>
          <w:szCs w:val="24"/>
          <w:highlight w:val="none"/>
          <w:lang w:val="en-US" w:eastAsia="zh-CN"/>
        </w:rPr>
        <w:t>交（</w:t>
      </w:r>
      <w:r>
        <w:rPr>
          <w:rFonts w:hint="eastAsia" w:ascii="宋体" w:hAnsi="宋体"/>
          <w:szCs w:val="24"/>
          <w:highlight w:val="none"/>
        </w:rPr>
        <w:t>竣</w:t>
      </w:r>
      <w:r>
        <w:rPr>
          <w:rFonts w:hint="eastAsia" w:ascii="宋体" w:hAnsi="宋体"/>
          <w:szCs w:val="24"/>
          <w:highlight w:val="none"/>
          <w:lang w:val="en-US" w:eastAsia="zh-CN"/>
        </w:rPr>
        <w:t>）</w:t>
      </w:r>
      <w:r>
        <w:rPr>
          <w:rFonts w:hint="eastAsia" w:ascii="宋体" w:hAnsi="宋体"/>
          <w:szCs w:val="24"/>
          <w:highlight w:val="none"/>
        </w:rPr>
        <w:t>工验收之日起计算）</w:t>
      </w:r>
      <w:r>
        <w:rPr>
          <w:rFonts w:hint="eastAsia" w:ascii="宋体" w:hAnsi="宋体" w:cs="宋体"/>
          <w:b/>
          <w:bCs/>
          <w:color w:val="000000"/>
          <w:highlight w:val="none"/>
        </w:rPr>
        <w:t>。</w:t>
      </w:r>
    </w:p>
    <w:p w14:paraId="76A882DC">
      <w:pPr>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color w:val="000000"/>
          <w:highlight w:val="none"/>
        </w:rPr>
        <w:t>19.3 缺陷责任期的延长</w:t>
      </w:r>
    </w:p>
    <w:p w14:paraId="0DB8535D">
      <w:pPr>
        <w:pageBreakBefore w:val="0"/>
        <w:kinsoku/>
        <w:wordWrap/>
        <w:overflowPunct/>
        <w:topLinePunct w:val="0"/>
        <w:bidi w:val="0"/>
        <w:adjustRightInd w:val="0"/>
        <w:snapToGrid w:val="0"/>
        <w:spacing w:line="360" w:lineRule="auto"/>
        <w:ind w:firstLine="420" w:firstLineChars="200"/>
        <w:rPr>
          <w:rFonts w:ascii="宋体" w:hAnsi="宋体"/>
          <w:highlight w:val="none"/>
        </w:rPr>
      </w:pPr>
      <w:r>
        <w:rPr>
          <w:rFonts w:hint="eastAsia" w:ascii="宋体" w:hAnsi="宋体"/>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3D3F1AB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19.5 承包人的进入权</w:t>
      </w:r>
    </w:p>
    <w:p w14:paraId="467EF9E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本款补充：</w:t>
      </w:r>
    </w:p>
    <w:p w14:paraId="4E47F92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承包人在缺陷修复施工过程中，应服从管养单位的有关安全管理规定，由于承包人自身原因造成的人员伤亡、设备和材料的损毁及罚款等责任由承包人自负。</w:t>
      </w:r>
    </w:p>
    <w:p w14:paraId="65DA19D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19.7 保修责任</w:t>
      </w:r>
    </w:p>
    <w:p w14:paraId="4285402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本款细化为 ：</w:t>
      </w:r>
    </w:p>
    <w:p w14:paraId="53D0B89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工程保修范围为本合同所有工程，质量保修期限为缺陷责任期，承包人在缺陷负责返修以承包人原因造成的工程任何缺陷损坏，返修费用由承包人承担。因非承包人原因造成的损坏，承包人应予修复，费用由发包人承担。</w:t>
      </w:r>
    </w:p>
    <w:p w14:paraId="33D1CF4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(2)在全部工程交工验收前，已经发包人提前验收的单位工程，其保修期的起算日期相应提前。</w:t>
      </w:r>
    </w:p>
    <w:p w14:paraId="57C896A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(3)缺陷责任期内，对应由承包人负责的返修内容，承包人应在接到返修通知后 14 天内开始实施返修，并在发包人与承包人双方商定的时间内修理完毕，否则发包人有权委托其他单位或人员进行修理，其费用由承包人承担。</w:t>
      </w:r>
    </w:p>
    <w:p w14:paraId="4DB56CA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(4)缺陷责任期终止后28天内，监理人签发缺陷责任期终止证书。</w:t>
      </w:r>
    </w:p>
    <w:p w14:paraId="47FED77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(5)若承包人不履行保修义务和责任，则承包人应承担由于违约造成的法律后果，并由发包人将其违约行为上报省级交通主管部门，作为不良记录纳入信用信息管理系统。</w:t>
      </w:r>
    </w:p>
    <w:p w14:paraId="44EC74A4">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20. </w:t>
      </w:r>
      <w:r>
        <w:rPr>
          <w:rFonts w:hint="eastAsia" w:ascii="宋体" w:hAnsi="宋体" w:cs="宋体"/>
          <w:b/>
          <w:color w:val="000000"/>
          <w:highlight w:val="none"/>
        </w:rPr>
        <w:t>保险</w:t>
      </w:r>
    </w:p>
    <w:p w14:paraId="20012A8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 xml:space="preserve">20.1 </w:t>
      </w:r>
      <w:r>
        <w:rPr>
          <w:rFonts w:hint="eastAsia" w:ascii="宋体" w:hAnsi="宋体" w:cs="宋体"/>
          <w:b/>
          <w:color w:val="000000"/>
          <w:highlight w:val="none"/>
        </w:rPr>
        <w:t>工程保险</w:t>
      </w:r>
    </w:p>
    <w:p w14:paraId="3F7BA59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删除通用条款本款内容，改为：</w:t>
      </w:r>
    </w:p>
    <w:p w14:paraId="787B660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“a、</w:t>
      </w:r>
      <w:r>
        <w:rPr>
          <w:rFonts w:hint="eastAsia" w:ascii="宋体" w:hAnsi="宋体" w:cs="宋体"/>
          <w:color w:val="000000"/>
          <w:kern w:val="0"/>
          <w:highlight w:val="none"/>
        </w:rPr>
        <w:t>工程一切险与第三方责任险由投标人自行投保，其费用</w:t>
      </w:r>
      <w:r>
        <w:rPr>
          <w:rFonts w:hint="eastAsia" w:ascii="宋体" w:hAnsi="宋体" w:cs="宋体"/>
          <w:color w:val="000000"/>
          <w:kern w:val="0"/>
          <w:highlight w:val="none"/>
          <w:lang w:val="en-US" w:eastAsia="zh-CN"/>
        </w:rPr>
        <w:t>按工程量清单中报价</w:t>
      </w:r>
      <w:r>
        <w:rPr>
          <w:rFonts w:hint="eastAsia" w:ascii="宋体" w:hAnsi="宋体" w:cs="宋体"/>
          <w:color w:val="000000"/>
          <w:kern w:val="0"/>
          <w:highlight w:val="none"/>
        </w:rPr>
        <w:t>包干使用。</w:t>
      </w:r>
      <w:r>
        <w:rPr>
          <w:rFonts w:hint="eastAsia" w:ascii="宋体" w:hAnsi="宋体" w:cs="宋体"/>
          <w:color w:val="000000"/>
          <w:highlight w:val="none"/>
        </w:rPr>
        <w:t>”</w:t>
      </w:r>
    </w:p>
    <w:p w14:paraId="42A2CE1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20.4 第三者责任险</w:t>
      </w:r>
    </w:p>
    <w:p w14:paraId="45BC53D3">
      <w:pPr>
        <w:pageBreakBefore w:val="0"/>
        <w:tabs>
          <w:tab w:val="left" w:pos="3261"/>
        </w:tabs>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20.4.2 删除通用条款本款内容，修改为“</w:t>
      </w:r>
      <w:r>
        <w:rPr>
          <w:rFonts w:hint="eastAsia" w:ascii="宋体" w:hAnsi="宋体" w:cs="宋体"/>
          <w:color w:val="000000"/>
          <w:kern w:val="0"/>
          <w:highlight w:val="none"/>
        </w:rPr>
        <w:t>工程一切险与第三方责任险由投标人自行投保，其费用按工程量清单中报价包干使用。</w:t>
      </w:r>
      <w:r>
        <w:rPr>
          <w:rFonts w:hint="eastAsia" w:ascii="宋体" w:hAnsi="宋体" w:cs="宋体"/>
          <w:color w:val="000000"/>
          <w:highlight w:val="none"/>
        </w:rPr>
        <w:t>”</w:t>
      </w:r>
    </w:p>
    <w:p w14:paraId="186540A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20.6 对各项保险的一般要求</w:t>
      </w:r>
    </w:p>
    <w:p w14:paraId="4E1DB00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20.6.1 保险凭证和条件</w:t>
      </w:r>
    </w:p>
    <w:p w14:paraId="741B119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删除通用条款本款内容。</w:t>
      </w:r>
    </w:p>
    <w:p w14:paraId="5AB98794">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21. </w:t>
      </w:r>
      <w:r>
        <w:rPr>
          <w:rFonts w:hint="eastAsia" w:ascii="宋体" w:hAnsi="宋体" w:cs="宋体"/>
          <w:b/>
          <w:color w:val="000000"/>
          <w:highlight w:val="none"/>
        </w:rPr>
        <w:t>不可抗力</w:t>
      </w:r>
    </w:p>
    <w:p w14:paraId="32D10369">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21.1 不可抗力的确认</w:t>
      </w:r>
    </w:p>
    <w:p w14:paraId="73DE030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21.1.1 修改为：“21.1.1 不可抗力是指承包人和发包人在订立合同时不可预见，在工程施工过程中不可避免发生并不能克服的自然灾害和社会性突发事件。包括但不限于：</w:t>
      </w:r>
    </w:p>
    <w:p w14:paraId="5022CDE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(1)地震、海啸、火山爆发、泥石流、暴雨(雪)、台风、龙卷风、水灾等自然灾害；</w:t>
      </w:r>
    </w:p>
    <w:p w14:paraId="1D888F7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(2)战争、骚乱、暴动，但纯属承包人或其分包人派遣与雇用的人员由于本标段施工原因引起者除外；</w:t>
      </w:r>
    </w:p>
    <w:p w14:paraId="7B58167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(3)核反应、辐射或放射性污染；</w:t>
      </w:r>
    </w:p>
    <w:p w14:paraId="6F6349A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(4)空中飞行物体坠落或非发包人或承包人责任造成的爆炸、火灾；</w:t>
      </w:r>
    </w:p>
    <w:p w14:paraId="33094AB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(5)瘟疫。”</w:t>
      </w:r>
    </w:p>
    <w:p w14:paraId="7EF2747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color w:val="000000"/>
          <w:highlight w:val="none"/>
        </w:rPr>
      </w:pPr>
      <w:r>
        <w:rPr>
          <w:rFonts w:hint="eastAsia" w:ascii="宋体" w:hAnsi="宋体" w:cs="宋体"/>
          <w:b/>
          <w:color w:val="000000"/>
          <w:highlight w:val="none"/>
        </w:rPr>
        <w:t>21.3 不可抗力后果及其处理</w:t>
      </w:r>
    </w:p>
    <w:p w14:paraId="00BD9F7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21.3.1 不可抗力造成损害的责任</w:t>
      </w:r>
    </w:p>
    <w:p w14:paraId="0783EF4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通用条款第一句内容修改为：</w:t>
      </w:r>
    </w:p>
    <w:p w14:paraId="15E4597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“由于任何一种已投保的风险造成的损失或损害，承包人应在事故发生后根据保险方案的时限报告监理人和保险公司并向保险公司提出索赔。</w:t>
      </w:r>
    </w:p>
    <w:p w14:paraId="02F20D4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任何一种无法投保的风险造成的损失或损害，承包人应在监理人要求的范围内弥补损失或损害。同时，监理人应按照第23条规定在与承包人协商并报发包人批准后，确定合同价格的增加额，通知承包人，并抄送发包人。”</w:t>
      </w:r>
    </w:p>
    <w:p w14:paraId="0331A45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21.3.4 因不可抗力解除合同</w:t>
      </w:r>
    </w:p>
    <w:p w14:paraId="29D47DC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但由于解除合同应赔偿的承包人损失不予考虑。</w:t>
      </w:r>
    </w:p>
    <w:p w14:paraId="2F56DEBD">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22. </w:t>
      </w:r>
      <w:r>
        <w:rPr>
          <w:rFonts w:hint="eastAsia" w:ascii="宋体" w:hAnsi="宋体" w:cs="宋体"/>
          <w:b/>
          <w:color w:val="000000"/>
          <w:highlight w:val="none"/>
        </w:rPr>
        <w:t>违约</w:t>
      </w:r>
    </w:p>
    <w:p w14:paraId="185CBEE1">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22.1 承包人违约</w:t>
      </w:r>
    </w:p>
    <w:p w14:paraId="7554049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22.1.2 对承包人违约的处理</w:t>
      </w:r>
    </w:p>
    <w:p w14:paraId="5755DE8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3C4FC75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“如果承包人发生下列违约情况，发包人将按从工程期中支付证书或履约保函或质量保证金中课以承包人违约金：</w:t>
      </w:r>
    </w:p>
    <w:p w14:paraId="75BDAB1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（a） 承包人在签署了合同协议书之日后，投标函附表所列的工地人员必须在监理人指定的日期进场，以保证项目管理机构的有效运转。对未经监理人同意，没有按时进场或未经批准离开工地的项目经理、总工、安全工程师（员），发包人将按</w:t>
      </w:r>
      <w:r>
        <w:rPr>
          <w:rFonts w:hint="eastAsia" w:ascii="宋体" w:hAnsi="宋体" w:cs="宋体"/>
          <w:color w:val="000000"/>
          <w:highlight w:val="none"/>
          <w:lang w:val="en-US" w:eastAsia="zh-CN"/>
        </w:rPr>
        <w:t>1</w:t>
      </w:r>
      <w:r>
        <w:rPr>
          <w:rFonts w:hint="eastAsia" w:ascii="宋体" w:hAnsi="宋体" w:cs="宋体"/>
          <w:color w:val="000000"/>
          <w:highlight w:val="none"/>
        </w:rPr>
        <w:t>000元/人·天课以违约金；对未按时进场或未经批准离开工地的工地其他主要人员，发包人将按500元/人·天课以违约金，直至缺员进场为止。</w:t>
      </w:r>
    </w:p>
    <w:p w14:paraId="4316A5D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（b） 承包人在签署了合同协议书之日后，必须保证投标函附表所列的主要施工机械设备和材料检验、质检仪器设备在监理人指定的日期到场，以保证工程顺利开工。若“表8 拟投入本标段的主要施工、检测机械表”中所列设备不能按时进场，发包人将按</w:t>
      </w:r>
      <w:r>
        <w:rPr>
          <w:rFonts w:hint="eastAsia" w:ascii="宋体" w:hAnsi="宋体" w:cs="宋体"/>
          <w:color w:val="000000"/>
          <w:highlight w:val="none"/>
          <w:lang w:val="en-US" w:eastAsia="zh-CN"/>
        </w:rPr>
        <w:t>1</w:t>
      </w:r>
      <w:r>
        <w:rPr>
          <w:rFonts w:hint="eastAsia" w:ascii="宋体" w:hAnsi="宋体" w:cs="宋体"/>
          <w:color w:val="000000"/>
          <w:highlight w:val="none"/>
        </w:rPr>
        <w:t>000元/台·天课以违约金，直到设备进场为止。如果主要施工机械进场后长期不能使用，发包人有权要求承包人及时修复或更换该机械设备，直至发包人满意为止，并处</w:t>
      </w:r>
      <w:r>
        <w:rPr>
          <w:rFonts w:hint="eastAsia" w:ascii="宋体" w:hAnsi="宋体" w:cs="宋体"/>
          <w:color w:val="000000"/>
          <w:highlight w:val="none"/>
          <w:lang w:val="en-US" w:eastAsia="zh-CN"/>
        </w:rPr>
        <w:t>1</w:t>
      </w:r>
      <w:r>
        <w:rPr>
          <w:rFonts w:hint="eastAsia" w:ascii="宋体" w:hAnsi="宋体" w:cs="宋体"/>
          <w:color w:val="000000"/>
          <w:highlight w:val="none"/>
        </w:rPr>
        <w:t>000元/台·天课以违约金。</w:t>
      </w:r>
    </w:p>
    <w:p w14:paraId="59F0648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（c） 在工程实施期间，未经监理人和发包人批准，承包人进场的施工机械和材料试验、质检仪器设备不得撤离现场。否则，发包人将按该设备的重置价值从工程期中支付款中课以违约金。</w:t>
      </w:r>
    </w:p>
    <w:p w14:paraId="3BD37CE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（d） 在施工期间，承包人若违反施工操作及管理程序，则按5000元/次标准课以承包人的违约金；若造成人员伤亡事故，发包人将以</w:t>
      </w:r>
      <w:r>
        <w:rPr>
          <w:rFonts w:hint="eastAsia" w:ascii="宋体" w:hAnsi="宋体" w:cs="宋体"/>
          <w:color w:val="000000"/>
          <w:highlight w:val="none"/>
          <w:lang w:val="en-US" w:eastAsia="zh-CN"/>
        </w:rPr>
        <w:t>5</w:t>
      </w:r>
      <w:r>
        <w:rPr>
          <w:rFonts w:hint="eastAsia" w:ascii="宋体" w:hAnsi="宋体" w:cs="宋体"/>
          <w:color w:val="000000"/>
          <w:highlight w:val="none"/>
        </w:rPr>
        <w:t>万元/死亡1人，</w:t>
      </w:r>
      <w:r>
        <w:rPr>
          <w:rFonts w:hint="eastAsia" w:ascii="宋体" w:hAnsi="宋体" w:cs="宋体"/>
          <w:color w:val="000000"/>
          <w:highlight w:val="none"/>
          <w:lang w:val="en-US" w:eastAsia="zh-CN"/>
        </w:rPr>
        <w:t>1</w:t>
      </w:r>
      <w:r>
        <w:rPr>
          <w:rFonts w:hint="eastAsia" w:ascii="宋体" w:hAnsi="宋体" w:cs="宋体"/>
          <w:color w:val="000000"/>
          <w:highlight w:val="none"/>
        </w:rPr>
        <w:t>万元/受伤1人，课以承包人的违约金，因事故调查分析而产生的工期延误和费用增加由承包人承担。</w:t>
      </w:r>
    </w:p>
    <w:p w14:paraId="531FD42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（e） 在工程实施期间，未经监理人批准，承包人的施工人员缺员30%以上，在监理人发出3次书面警告14天后，发包人将根据合同条款的有关规定终止合同。</w:t>
      </w:r>
    </w:p>
    <w:p w14:paraId="420AC8D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（f） 承包人在施工期间如果在各种报表及检查试验记录中自己作假或诱导监理人作假，一经查实，发包人将按5万元/次课以承包人的违约金。由于假报表、假试验记录引起的工程损失费用，由承包人承担。</w:t>
      </w:r>
    </w:p>
    <w:p w14:paraId="5778B3F1">
      <w:pPr>
        <w:pageBreakBefore w:val="0"/>
        <w:kinsoku/>
        <w:wordWrap/>
        <w:overflowPunct/>
        <w:topLinePunct w:val="0"/>
        <w:bidi w:val="0"/>
        <w:adjustRightInd w:val="0"/>
        <w:snapToGrid w:val="0"/>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（g） 承包人违反环境保护的规定，向水域排放废油或其他生产生活废弃物，按2万元/次课以承包人的违约金，并应承担其他相关部门的罚款。</w:t>
      </w:r>
    </w:p>
    <w:p w14:paraId="4A8FF765">
      <w:pPr>
        <w:pageBreakBefore w:val="0"/>
        <w:kinsoku/>
        <w:wordWrap/>
        <w:overflowPunct/>
        <w:topLinePunct w:val="0"/>
        <w:bidi w:val="0"/>
        <w:adjustRightInd w:val="0"/>
        <w:snapToGrid w:val="0"/>
        <w:spacing w:line="360" w:lineRule="auto"/>
        <w:ind w:firstLine="420" w:firstLineChars="200"/>
        <w:rPr>
          <w:rFonts w:hint="eastAsia" w:ascii="宋体" w:hAnsi="宋体" w:cs="宋体"/>
          <w:color w:val="000000"/>
          <w:highlight w:val="none"/>
        </w:rPr>
      </w:pPr>
      <w:r>
        <w:rPr>
          <w:rFonts w:hint="eastAsia" w:ascii="宋体" w:hAnsi="宋体" w:cs="宋体"/>
          <w:color w:val="000000"/>
          <w:highlight w:val="none"/>
        </w:rPr>
        <w:t>（</w:t>
      </w:r>
      <w:r>
        <w:rPr>
          <w:rFonts w:ascii="宋体" w:hAnsi="宋体" w:cs="宋体"/>
          <w:color w:val="000000"/>
          <w:highlight w:val="none"/>
        </w:rPr>
        <w:t>h</w:t>
      </w:r>
      <w:r>
        <w:rPr>
          <w:rFonts w:hint="eastAsia" w:ascii="宋体" w:hAnsi="宋体" w:cs="宋体"/>
          <w:color w:val="000000"/>
          <w:highlight w:val="none"/>
        </w:rPr>
        <w:t>）如果承包人未能按合同规定的工期要求竣工，发包人将对承包人处以逾期竣工违约金，逾期违约金按</w:t>
      </w:r>
      <w:r>
        <w:rPr>
          <w:rFonts w:ascii="宋体" w:hAnsi="宋体" w:cs="宋体"/>
          <w:color w:val="000000"/>
          <w:highlight w:val="none"/>
        </w:rPr>
        <w:t xml:space="preserve"> 5 </w:t>
      </w:r>
      <w:r>
        <w:rPr>
          <w:rFonts w:hint="eastAsia" w:ascii="宋体" w:hAnsi="宋体" w:cs="宋体"/>
          <w:color w:val="000000"/>
          <w:highlight w:val="none"/>
        </w:rPr>
        <w:t>千元</w:t>
      </w:r>
      <w:r>
        <w:rPr>
          <w:rFonts w:ascii="宋体" w:hAnsi="宋体" w:cs="宋体"/>
          <w:color w:val="000000"/>
          <w:highlight w:val="none"/>
        </w:rPr>
        <w:t>/</w:t>
      </w:r>
      <w:r>
        <w:rPr>
          <w:rFonts w:hint="eastAsia" w:ascii="宋体" w:hAnsi="宋体" w:cs="宋体"/>
          <w:color w:val="000000"/>
          <w:highlight w:val="none"/>
        </w:rPr>
        <w:t>天执行。逾期竣工违约金不超过签约合同价的</w:t>
      </w:r>
      <w:r>
        <w:rPr>
          <w:rFonts w:ascii="宋体" w:hAnsi="宋体" w:cs="宋体"/>
          <w:color w:val="000000"/>
          <w:highlight w:val="none"/>
        </w:rPr>
        <w:t xml:space="preserve"> 5%</w:t>
      </w:r>
      <w:r>
        <w:rPr>
          <w:rFonts w:hint="eastAsia" w:ascii="宋体" w:hAnsi="宋体" w:cs="宋体"/>
          <w:color w:val="000000"/>
          <w:highlight w:val="none"/>
        </w:rPr>
        <w:t>。</w:t>
      </w:r>
    </w:p>
    <w:p w14:paraId="7974150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发包人可视承包人违约的严重程度采取下列措施之一：</w:t>
      </w:r>
    </w:p>
    <w:p w14:paraId="45B65DEE">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（1）即使交纳了违约金，承包人仍应按合同规定继续实施和完成本合同工程及其缺陷修复；或</w:t>
      </w:r>
    </w:p>
    <w:p w14:paraId="6CD7E02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发包人可雇用其他承包人完成部分工程。承包人无权对此提出反对意见并应按合同规定完成合同工程其它部分的施工和缺陷修复。在这种情况下，发包人向承包人支付的合同价格中不应包括由其他承包人完成的那部分工程的价格。监理人应与承包人和发包人协商后确定由于承包人违约而给发包人造成的费用增加和其他损失，并由发包人从应付或到期应付给承包人的款项中扣除，监理人应将上述决定通知承包人，并抄送发包人：或</w:t>
      </w:r>
    </w:p>
    <w:p w14:paraId="2F28AC4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3）发包人在向承包人发出书面通知的14天之后可以进驻现场和接管工程，终止承包人对本合同工程的承包，但不因此解除合同规定的承包人的任何义务和责任，或影响合同赋予发包人或监理人的各种权利和权限。发包人可自行完成该工程，或邀请其他承包人完成该工程。发包人或其他承包人为了完成本工程可以使用任何承包人设备、临时工程和材料。合同终止后的有关事宜应按照第17和18款的规定办理。”</w:t>
      </w:r>
    </w:p>
    <w:p w14:paraId="3EA5DC09">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color w:val="000000"/>
          <w:highlight w:val="none"/>
        </w:rPr>
      </w:pPr>
      <w:r>
        <w:rPr>
          <w:rFonts w:hint="eastAsia" w:ascii="宋体" w:hAnsi="宋体" w:cs="宋体"/>
          <w:b/>
          <w:color w:val="000000"/>
          <w:highlight w:val="none"/>
        </w:rPr>
        <w:t>23. 索赔</w:t>
      </w:r>
    </w:p>
    <w:p w14:paraId="7C7B3B9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23.1 承包人索赔的提出</w:t>
      </w:r>
    </w:p>
    <w:p w14:paraId="25F56C4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本款(4)项细化为：</w:t>
      </w:r>
    </w:p>
    <w:p w14:paraId="7D841E2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(4)在索赔事件影响结束后的28天内，承包人应向监理人递交最终索赔通知书，说明最终要求索赔的追加付款金额和(或)延长的工期，并附必要的记录和证明材料。</w:t>
      </w:r>
    </w:p>
    <w:p w14:paraId="36B2F3C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23.2 承包人索赔处理程序</w:t>
      </w:r>
    </w:p>
    <w:p w14:paraId="667D83D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通用条款本款(2)项修改为：</w:t>
      </w:r>
    </w:p>
    <w:p w14:paraId="706FFF5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 xml:space="preserve"> (2)监理人应按第3.5款商定或确定追加的付款和(或)延长的工期，并在收到上述索赔通知书或有关索赔的进一步证明材料后的42天内，将索赔处理结果报发包人批准后答复承包人。如果承包人提出的索赔要求未能遵守第23.1（2）至(4)项的规定，则承包人只限于索赔由监理人按当时记录予以核实的那部分款额和(或)工期延长天数。</w:t>
      </w:r>
    </w:p>
    <w:p w14:paraId="05B55CF5">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通用条款本款末增加：</w:t>
      </w:r>
    </w:p>
    <w:p w14:paraId="5AB0AFB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（4）由于发包人的延误或阻碍，影响关键线路变化的，工期延长，费用不调整；不影响关键线路变化的，工期费用均不调整。</w:t>
      </w:r>
    </w:p>
    <w:p w14:paraId="44317732">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ascii="宋体" w:hAnsi="宋体" w:cs="宋体"/>
          <w:b/>
          <w:bCs/>
          <w:color w:val="000000"/>
          <w:highlight w:val="none"/>
        </w:rPr>
      </w:pPr>
      <w:r>
        <w:rPr>
          <w:rFonts w:hint="eastAsia" w:ascii="宋体" w:hAnsi="宋体" w:cs="宋体"/>
          <w:b/>
          <w:bCs/>
          <w:color w:val="000000"/>
          <w:highlight w:val="none"/>
        </w:rPr>
        <w:t xml:space="preserve">24. </w:t>
      </w:r>
      <w:r>
        <w:rPr>
          <w:rFonts w:hint="eastAsia" w:ascii="宋体" w:hAnsi="宋体" w:cs="宋体"/>
          <w:b/>
          <w:color w:val="000000"/>
          <w:highlight w:val="none"/>
        </w:rPr>
        <w:t>争议的解决</w:t>
      </w:r>
    </w:p>
    <w:p w14:paraId="1D499DF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24.1 争议的解决方式</w:t>
      </w:r>
    </w:p>
    <w:p w14:paraId="1F441DC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删除通用条款本款内容，改为：</w:t>
      </w:r>
    </w:p>
    <w:p w14:paraId="4A215B7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“发包人和承包人在履行合同中发生争议的，可以友好协商解决或者提请争议评审组评审。合同当事人友好协商不成、不愿提请争议评审或者不接受争议评审组意见的，任何一方均有权向</w:t>
      </w:r>
      <w:bookmarkStart w:id="90" w:name="_Hlk164874437"/>
      <w:r>
        <w:rPr>
          <w:rFonts w:hint="eastAsia" w:ascii="宋体" w:hAnsi="宋体" w:cs="宋体"/>
          <w:color w:val="000000" w:themeColor="text1"/>
          <w:highlight w:val="none"/>
          <w:u w:val="single"/>
          <w14:textFill>
            <w14:solidFill>
              <w14:schemeClr w14:val="tx1"/>
            </w14:solidFill>
          </w14:textFill>
        </w:rPr>
        <w:t>工程所在地有管辖权的人民法院</w:t>
      </w:r>
      <w:bookmarkEnd w:id="90"/>
      <w:r>
        <w:rPr>
          <w:rFonts w:hint="eastAsia" w:ascii="宋体" w:hAnsi="宋体" w:cs="宋体"/>
          <w:color w:val="000000"/>
          <w:highlight w:val="none"/>
        </w:rPr>
        <w:t>提起诉讼。</w:t>
      </w:r>
    </w:p>
    <w:p w14:paraId="5FC19FE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无论在施工过程中或在工程竣工之后，无论在本合同的失效或终止之前或之后，如果发包人和承包人之间就本合同文件的条款、规定、规范、图纸、质量与进度要求、支付与扣除，延期与索赔、调价发生任何法律上、经济上或技术上的纠纷，包括对监理人作出的任何指示、指令、决定、评定、认证和估价发生纠纷，则纠纷中的问题，首先应根据本条规定书面提交监理人解决，并抄给另一方。监理人在收到此提交件后42天之内应将自己的裁定通知发包人和承包人。</w:t>
      </w:r>
    </w:p>
    <w:p w14:paraId="4F719F93">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除非本合同已被终止，承包人无论在什么情况下都应尽一切努力继续完成本工程，承包人和发包人应使监理人的上述每一项裁定付诸实施，除非并直到监理人的裁定按第 24 条规定的方式作出了更改。</w:t>
      </w:r>
    </w:p>
    <w:p w14:paraId="6C8B338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如果监理人已将其对此纠纷的裁定通知了发包人和承包人，而发包人和承包人在收到该通知之 日起的42天之内，任何一方均未向其提出要求按第24.2款进行友好协商或通过双方上级主管部门 进行调解；或者在上述协商或调解并未达成协议后的42天内，任何一方也未通知另一方提出要求 按第 24.4 款开始诉讼的意向，则监理人的上述裁定应是最后的裁定，并对发包人和承包人均有约束力。 ”</w:t>
      </w:r>
    </w:p>
    <w:p w14:paraId="6E9F01E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ascii="宋体" w:hAnsi="宋体" w:cs="宋体"/>
          <w:b/>
          <w:bCs/>
          <w:color w:val="000000"/>
          <w:highlight w:val="none"/>
        </w:rPr>
      </w:pPr>
      <w:r>
        <w:rPr>
          <w:rFonts w:hint="eastAsia" w:ascii="宋体" w:hAnsi="宋体" w:cs="宋体"/>
          <w:b/>
          <w:bCs/>
          <w:color w:val="000000"/>
          <w:highlight w:val="none"/>
        </w:rPr>
        <w:t>24.2 友好解决</w:t>
      </w:r>
    </w:p>
    <w:p w14:paraId="3AE4053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删除通用条款本款内容，改为：</w:t>
      </w:r>
    </w:p>
    <w:p w14:paraId="72CFB2F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如果发包人或承包人有一方对监理人的裁定有异议，或如果监理人在收到第24.1款所述提交件后42天内，没有发出自己的裁定通知，则双方可就纠纷事项进行友好协商或通过双方上级主管部门进行调解。协商或调解应在收到监理人发出的裁定通知后的42天内或监理人发出裁定通知中规定的期限内进行。通过协商或调解，如能达成书面协议，双方都应执行，对发包人和承包人均有约束力，该协议应送监理人一份。如果协商或调解不能达成协议，则发包人或承包人任何一方都可以在协商或调解达不成协议后的42天内通知另一方，说明自己对纠纷中的问题将争议评审或提交法院的意向，并抄送监理人。”</w:t>
      </w:r>
    </w:p>
    <w:p w14:paraId="54A0D4F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25. 纳税和缴费</w:t>
      </w:r>
    </w:p>
    <w:p w14:paraId="436EB4C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“政府根据现行税法和有关部门现行规定就本合同项下向承包人征收的所有税金及其它应交纳 的所有费用，均由承包人摊入各工程细目的单价中，不另报价。”</w:t>
      </w:r>
    </w:p>
    <w:p w14:paraId="08BBE9F2">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26. 施工工艺要求</w:t>
      </w:r>
    </w:p>
    <w:p w14:paraId="38F31EB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“承包人应按照图纸、招标文件和技术规范的要求，编制施工指导意见，明确确保工程质量的施工技术方案和施工工艺要求，特别是关键工程、重点部位、关键工序的施工技术方案和施工工艺。</w:t>
      </w:r>
    </w:p>
    <w:p w14:paraId="4ADA5F61">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考虑到本项目建设的实际情况，发包人会提出一些比招标文件中技术规范要求高的技术指标， 承包人必须执行这一要求。在工程竣工质量要求未发生改变的情况下，即使发包人或监理人对施工工艺指标提出了特别要求，承包人也不得就此要求发包人给予额外费用补贴，以及由此发生的一切 费用。 ”</w:t>
      </w:r>
    </w:p>
    <w:p w14:paraId="6BB932A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 其它</w:t>
      </w:r>
    </w:p>
    <w:p w14:paraId="5C3D248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27.1 承包人在签订并履行合同协议时，同时应签订并履行《廉政合同》、《安全生产合同》，格式见招标文件第8篇。</w:t>
      </w:r>
    </w:p>
    <w:p w14:paraId="3942ED07">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27.2 工程量清单所列工程量是按计量的原则、根据设计图纸编制而成的预计工程量，在一般情况下可作为计量的控制值。但不能作为承包人应履行义务中应予或只须完成工程的实际工程量。工程量清单中的任何错误和遗漏，均不应导致合同的废除，并不免除承包人根据合同规定的义务和其应按图纸、规范履行合同的责任。有关的遗漏、错误和实际施工的工程量应由工程师按规定纠正。</w:t>
      </w:r>
    </w:p>
    <w:p w14:paraId="38A654E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27.3 承包人应无条件服从发包人统一协调，并承担由此而引起的临时停工等风险，承包人也不得就此要求发包人给予额外费用补贴，由此发生的一切费用视为已计入投标报价中。</w:t>
      </w:r>
    </w:p>
    <w:p w14:paraId="54233F0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27.4 程检查、验收时，承包人应负责提供工程检查、验收所必需的条件如测量仪器设备等，此部分工作作为承包人必须履行的义务，由此发生的一切费用视为已包含在投标报价中。</w:t>
      </w:r>
    </w:p>
    <w:p w14:paraId="40C2D60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27.5 监理人提出要求时，承包人应向监理人提交足够的有关设备、物资或材料的所有权证明或者被他租用的或占有的设备、物资材料的协议书。</w:t>
      </w:r>
    </w:p>
    <w:p w14:paraId="3E9C0D7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27.6 分阶段施工计划的调整</w:t>
      </w:r>
    </w:p>
    <w:p w14:paraId="655DE9D4">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在合同总工期未变的前提下，发包人或监理人根据工程实际情况或他认为有必要的任何其它理 由而对工程分阶段工期所进行的调整，承包人一般应无条件地服从。由此而可能引起工程费用投入的变化将不另考虑。</w:t>
      </w:r>
    </w:p>
    <w:p w14:paraId="5BA1BDD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27.7 确保发包人不受指控</w:t>
      </w:r>
    </w:p>
    <w:p w14:paraId="1625B8AB">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应采取一切必要的措施，在合同执行过程妥善处理好协作单位、所雇佣的农民工等有关专利权、商标权、工业设计权、工程款、工资等事宜。任何第三方如果提出侵犯指控，承包人须与第三方交涉并承担可能发生的一切法律和费用责任。</w:t>
      </w:r>
    </w:p>
    <w:p w14:paraId="4EF8767F">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27.8 承包人必须无条件地服从发包人和现场监理的协调，由此可能发生的费用应计入报价中，在实际施工中，发包人不另承担由此产生的一切费用。</w:t>
      </w:r>
    </w:p>
    <w:p w14:paraId="04FC9C5C">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27.9 承包人驻地建设应满足发包人的要求。</w:t>
      </w:r>
    </w:p>
    <w:p w14:paraId="306B5DE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27.10 单价构成分析</w:t>
      </w:r>
    </w:p>
    <w:p w14:paraId="2F34CA5D">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承包人在投标期间填报的单价分析表将作为确定变更项目单价的重要依据，若单价分析不足够 详细， 将以监理人作出发包人认可的构成分析为准。</w:t>
      </w:r>
    </w:p>
    <w:p w14:paraId="493F6308">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27.11 节能、环保要求</w:t>
      </w:r>
    </w:p>
    <w:p w14:paraId="0D154B29">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承包人在工程实施期间，应按照国家、江苏省及发包人的相关规定，按照节能、环保的要求进行施工，并制定相应的保障措施。发包人将委托相应专业机构对承包人节能、环保措施的落实情况进行检查监督，承包人应无条件予以配合并执行发包人提出的整改意见。上述所有工作发生的费用视为包含在投标报价中，不另行计量支付。</w:t>
      </w:r>
    </w:p>
    <w:p w14:paraId="6F4C812A">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27.12  工地试验室</w:t>
      </w:r>
    </w:p>
    <w:p w14:paraId="1DE23E46">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无</w:t>
      </w:r>
    </w:p>
    <w:p w14:paraId="27D48350">
      <w:pPr>
        <w:pageBreakBefore w:val="0"/>
        <w:kinsoku/>
        <w:wordWrap/>
        <w:overflowPunct/>
        <w:topLinePunct w:val="0"/>
        <w:bidi w:val="0"/>
        <w:adjustRightInd w:val="0"/>
        <w:snapToGrid w:val="0"/>
        <w:spacing w:line="360" w:lineRule="auto"/>
        <w:ind w:firstLine="420" w:firstLineChars="200"/>
        <w:rPr>
          <w:rFonts w:ascii="宋体" w:hAnsi="宋体" w:cs="宋体"/>
          <w:color w:val="000000"/>
          <w:highlight w:val="none"/>
        </w:rPr>
      </w:pPr>
      <w:r>
        <w:rPr>
          <w:rFonts w:hint="eastAsia" w:ascii="宋体" w:hAnsi="宋体" w:cs="宋体"/>
          <w:color w:val="000000"/>
          <w:highlight w:val="none"/>
        </w:rPr>
        <w:t>27.13 本合同为固定单价合同，合同一经签订，标价的工程量清单中的各细目单价或总额价不因任何因素调整。</w:t>
      </w:r>
    </w:p>
    <w:p w14:paraId="1C3F8CE8">
      <w:pPr>
        <w:jc w:val="left"/>
        <w:rPr>
          <w:rFonts w:ascii="楷体" w:hAnsi="楷体" w:eastAsia="楷体"/>
          <w:sz w:val="56"/>
          <w:szCs w:val="56"/>
          <w:highlight w:val="none"/>
        </w:rPr>
      </w:pPr>
      <w:r>
        <w:rPr>
          <w:rFonts w:hint="eastAsia" w:ascii="楷体" w:hAnsi="楷体" w:eastAsia="楷体"/>
          <w:sz w:val="56"/>
          <w:szCs w:val="56"/>
          <w:highlight w:val="none"/>
        </w:rPr>
        <w:br w:type="page"/>
      </w:r>
    </w:p>
    <w:p w14:paraId="74E5C40C">
      <w:pPr>
        <w:adjustRightInd w:val="0"/>
        <w:snapToGrid w:val="0"/>
        <w:spacing w:before="4800" w:beforeLines="2000"/>
        <w:jc w:val="center"/>
        <w:outlineLvl w:val="0"/>
        <w:rPr>
          <w:rFonts w:ascii="楷体" w:hAnsi="楷体" w:eastAsia="楷体"/>
          <w:sz w:val="56"/>
          <w:szCs w:val="56"/>
          <w:highlight w:val="none"/>
        </w:rPr>
      </w:pPr>
      <w:r>
        <w:rPr>
          <w:rFonts w:hint="eastAsia" w:ascii="楷体" w:hAnsi="楷体" w:eastAsia="楷体"/>
          <w:sz w:val="56"/>
          <w:szCs w:val="56"/>
          <w:highlight w:val="none"/>
        </w:rPr>
        <w:t>第三节  合同附件格式</w:t>
      </w:r>
    </w:p>
    <w:p w14:paraId="5CB88317">
      <w:pPr>
        <w:adjustRightInd w:val="0"/>
        <w:snapToGrid w:val="0"/>
        <w:jc w:val="center"/>
        <w:outlineLvl w:val="0"/>
        <w:rPr>
          <w:rFonts w:ascii="楷体" w:hAnsi="楷体" w:eastAsia="楷体"/>
          <w:sz w:val="28"/>
          <w:szCs w:val="28"/>
          <w:highlight w:val="none"/>
        </w:rPr>
      </w:pPr>
    </w:p>
    <w:p w14:paraId="220DDE66">
      <w:pPr>
        <w:adjustRightInd w:val="0"/>
        <w:snapToGrid w:val="0"/>
        <w:jc w:val="center"/>
        <w:outlineLvl w:val="0"/>
        <w:rPr>
          <w:rFonts w:ascii="楷体" w:hAnsi="楷体" w:eastAsia="楷体"/>
          <w:sz w:val="28"/>
          <w:szCs w:val="28"/>
          <w:highlight w:val="none"/>
        </w:rPr>
      </w:pPr>
      <w:r>
        <w:rPr>
          <w:rFonts w:hint="eastAsia" w:ascii="楷体" w:hAnsi="楷体" w:eastAsia="楷体"/>
          <w:sz w:val="28"/>
          <w:szCs w:val="28"/>
          <w:highlight w:val="none"/>
        </w:rPr>
        <w:t>详见《标准施工招标文件》（2007年版）和《水运工程标准施工招标文件》（JTS 110-8-2008）</w:t>
      </w:r>
    </w:p>
    <w:p w14:paraId="123FFE28">
      <w:pPr>
        <w:rPr>
          <w:rFonts w:ascii="宋体" w:hAnsi="宋体"/>
          <w:highlight w:val="none"/>
        </w:rPr>
      </w:pPr>
    </w:p>
    <w:p w14:paraId="3D3EE429">
      <w:pPr>
        <w:autoSpaceDE w:val="0"/>
        <w:autoSpaceDN w:val="0"/>
        <w:adjustRightInd w:val="0"/>
        <w:spacing w:line="200" w:lineRule="exact"/>
        <w:jc w:val="left"/>
        <w:rPr>
          <w:rFonts w:ascii="宋体" w:hAnsi="宋体"/>
          <w:kern w:val="0"/>
          <w:sz w:val="20"/>
          <w:szCs w:val="20"/>
          <w:highlight w:val="none"/>
        </w:rPr>
      </w:pPr>
    </w:p>
    <w:p w14:paraId="25BD16CB">
      <w:pPr>
        <w:jc w:val="left"/>
        <w:rPr>
          <w:rFonts w:ascii="宋体" w:hAnsi="宋体"/>
          <w:kern w:val="0"/>
          <w:sz w:val="20"/>
          <w:szCs w:val="20"/>
          <w:highlight w:val="none"/>
        </w:rPr>
      </w:pPr>
      <w:r>
        <w:rPr>
          <w:rFonts w:ascii="宋体" w:hAnsi="宋体"/>
          <w:kern w:val="0"/>
          <w:sz w:val="20"/>
          <w:szCs w:val="20"/>
          <w:highlight w:val="none"/>
        </w:rPr>
        <w:br w:type="page"/>
      </w:r>
    </w:p>
    <w:p w14:paraId="587EC4DC">
      <w:pPr>
        <w:spacing w:line="360" w:lineRule="auto"/>
        <w:rPr>
          <w:rFonts w:ascii="宋体" w:hAnsi="宋体"/>
          <w:b/>
          <w:sz w:val="22"/>
          <w:szCs w:val="22"/>
          <w:highlight w:val="none"/>
        </w:rPr>
      </w:pPr>
      <w:r>
        <w:rPr>
          <w:rFonts w:hint="eastAsia" w:ascii="宋体" w:hAnsi="宋体"/>
          <w:b/>
          <w:sz w:val="22"/>
          <w:szCs w:val="22"/>
          <w:highlight w:val="none"/>
        </w:rPr>
        <w:t>附件1合同协议书</w:t>
      </w:r>
    </w:p>
    <w:p w14:paraId="0C65BBB7">
      <w:pPr>
        <w:spacing w:line="440" w:lineRule="exact"/>
        <w:jc w:val="center"/>
        <w:rPr>
          <w:rFonts w:cs="仿宋"/>
          <w:sz w:val="28"/>
          <w:szCs w:val="28"/>
          <w:highlight w:val="none"/>
        </w:rPr>
      </w:pPr>
      <w:r>
        <w:rPr>
          <w:rFonts w:cs="仿宋"/>
          <w:sz w:val="28"/>
          <w:szCs w:val="28"/>
          <w:highlight w:val="none"/>
        </w:rPr>
        <w:t>合同协议书</w:t>
      </w:r>
    </w:p>
    <w:p w14:paraId="1D5207C7">
      <w:pPr>
        <w:spacing w:line="440" w:lineRule="exact"/>
        <w:ind w:firstLine="630" w:firstLineChars="300"/>
        <w:rPr>
          <w:rFonts w:cs="仿宋"/>
          <w:highlight w:val="none"/>
        </w:rPr>
      </w:pPr>
      <w:r>
        <w:rPr>
          <w:rFonts w:cs="仿宋"/>
          <w:highlight w:val="none"/>
        </w:rPr>
        <w:t>（发包人名称，以下简称“发包人”）为实施（项目名称），已接受</w:t>
      </w:r>
      <w:r>
        <w:rPr>
          <w:rFonts w:hint="eastAsia" w:cs="仿宋"/>
          <w:highlight w:val="none"/>
          <w:u w:val="single"/>
          <w:lang w:val="en-US" w:eastAsia="zh-CN"/>
        </w:rPr>
        <w:t xml:space="preserve">     </w:t>
      </w:r>
      <w:r>
        <w:rPr>
          <w:rFonts w:cs="仿宋"/>
          <w:highlight w:val="none"/>
        </w:rPr>
        <w:t>（承包人名称，以下简称“承包人”）对该项目</w:t>
      </w:r>
      <w:r>
        <w:rPr>
          <w:rFonts w:hint="eastAsia" w:cs="仿宋"/>
          <w:highlight w:val="none"/>
          <w:u w:val="single"/>
          <w:lang w:val="en-US" w:eastAsia="zh-CN"/>
        </w:rPr>
        <w:t xml:space="preserve">      标段</w:t>
      </w:r>
      <w:r>
        <w:rPr>
          <w:rFonts w:cs="仿宋"/>
          <w:highlight w:val="none"/>
        </w:rPr>
        <w:t>施工的投标。发包人和承包人共同达成如下协议。</w:t>
      </w:r>
    </w:p>
    <w:p w14:paraId="529A788F">
      <w:pPr>
        <w:spacing w:line="440" w:lineRule="exact"/>
        <w:ind w:firstLine="420" w:firstLineChars="200"/>
        <w:rPr>
          <w:rFonts w:cs="仿宋"/>
          <w:highlight w:val="none"/>
        </w:rPr>
      </w:pPr>
      <w:r>
        <w:rPr>
          <w:rFonts w:cs="仿宋"/>
          <w:highlight w:val="none"/>
        </w:rPr>
        <w:t>1．本工程由组成。</w:t>
      </w:r>
    </w:p>
    <w:p w14:paraId="6E7FA963">
      <w:pPr>
        <w:spacing w:line="440" w:lineRule="exact"/>
        <w:ind w:firstLine="420" w:firstLineChars="200"/>
        <w:rPr>
          <w:rFonts w:cs="仿宋"/>
          <w:highlight w:val="none"/>
        </w:rPr>
      </w:pPr>
      <w:r>
        <w:rPr>
          <w:rFonts w:cs="仿宋"/>
          <w:highlight w:val="none"/>
        </w:rPr>
        <w:t>2．本协议书与下列文件一起构成合同文件：</w:t>
      </w:r>
    </w:p>
    <w:p w14:paraId="46E69F69">
      <w:pPr>
        <w:spacing w:line="440" w:lineRule="exact"/>
        <w:ind w:firstLine="420" w:firstLineChars="200"/>
        <w:rPr>
          <w:rFonts w:cs="仿宋"/>
          <w:highlight w:val="none"/>
        </w:rPr>
      </w:pPr>
      <w:r>
        <w:rPr>
          <w:rFonts w:cs="仿宋"/>
          <w:highlight w:val="none"/>
        </w:rPr>
        <w:t>（1）合同履行中双方签署的书面文件及各种合同附件（含评标期间和合同谈判过程中的澄清文件和补充资料）；</w:t>
      </w:r>
    </w:p>
    <w:p w14:paraId="096220F5">
      <w:pPr>
        <w:spacing w:line="440" w:lineRule="exact"/>
        <w:ind w:firstLine="420" w:firstLineChars="200"/>
        <w:rPr>
          <w:rFonts w:cs="仿宋"/>
          <w:highlight w:val="none"/>
        </w:rPr>
      </w:pPr>
      <w:r>
        <w:rPr>
          <w:rFonts w:cs="仿宋"/>
          <w:highlight w:val="none"/>
        </w:rPr>
        <w:t>（2）中标通知书；</w:t>
      </w:r>
    </w:p>
    <w:p w14:paraId="7C9F0C51">
      <w:pPr>
        <w:spacing w:line="440" w:lineRule="exact"/>
        <w:ind w:firstLine="420" w:firstLineChars="200"/>
        <w:rPr>
          <w:rFonts w:cs="仿宋"/>
          <w:highlight w:val="none"/>
        </w:rPr>
      </w:pPr>
      <w:r>
        <w:rPr>
          <w:rFonts w:cs="仿宋"/>
          <w:highlight w:val="none"/>
        </w:rPr>
        <w:t>（3）投标函及投标函附录；</w:t>
      </w:r>
    </w:p>
    <w:p w14:paraId="7EBB99E1">
      <w:pPr>
        <w:spacing w:line="440" w:lineRule="exact"/>
        <w:ind w:firstLine="420" w:firstLineChars="200"/>
        <w:rPr>
          <w:rFonts w:cs="仿宋"/>
          <w:highlight w:val="none"/>
        </w:rPr>
      </w:pPr>
      <w:r>
        <w:rPr>
          <w:rFonts w:cs="仿宋"/>
          <w:highlight w:val="none"/>
        </w:rPr>
        <w:t>（4）专用合同条款；</w:t>
      </w:r>
    </w:p>
    <w:p w14:paraId="7BAE4131">
      <w:pPr>
        <w:spacing w:line="440" w:lineRule="exact"/>
        <w:ind w:firstLine="420" w:firstLineChars="200"/>
        <w:rPr>
          <w:rFonts w:cs="仿宋"/>
          <w:highlight w:val="none"/>
        </w:rPr>
      </w:pPr>
      <w:r>
        <w:rPr>
          <w:rFonts w:cs="仿宋"/>
          <w:highlight w:val="none"/>
        </w:rPr>
        <w:t>（5）通用合同条款；</w:t>
      </w:r>
    </w:p>
    <w:p w14:paraId="2406290A">
      <w:pPr>
        <w:spacing w:line="440" w:lineRule="exact"/>
        <w:ind w:firstLine="420" w:firstLineChars="200"/>
        <w:rPr>
          <w:rFonts w:cs="仿宋"/>
          <w:highlight w:val="none"/>
        </w:rPr>
      </w:pPr>
      <w:r>
        <w:rPr>
          <w:rFonts w:cs="仿宋"/>
          <w:highlight w:val="none"/>
        </w:rPr>
        <w:t>（6）技术标准及要求；</w:t>
      </w:r>
    </w:p>
    <w:p w14:paraId="3F5CC8E9">
      <w:pPr>
        <w:spacing w:line="440" w:lineRule="exact"/>
        <w:ind w:firstLine="420" w:firstLineChars="200"/>
        <w:rPr>
          <w:rFonts w:cs="仿宋"/>
          <w:highlight w:val="none"/>
        </w:rPr>
      </w:pPr>
      <w:r>
        <w:rPr>
          <w:rFonts w:cs="仿宋"/>
          <w:highlight w:val="none"/>
        </w:rPr>
        <w:t>（7）图纸；</w:t>
      </w:r>
    </w:p>
    <w:p w14:paraId="4F3B5AD0">
      <w:pPr>
        <w:spacing w:line="440" w:lineRule="exact"/>
        <w:ind w:firstLine="420" w:firstLineChars="200"/>
        <w:rPr>
          <w:rFonts w:cs="仿宋"/>
          <w:highlight w:val="none"/>
        </w:rPr>
      </w:pPr>
      <w:r>
        <w:rPr>
          <w:rFonts w:cs="仿宋"/>
          <w:highlight w:val="none"/>
        </w:rPr>
        <w:t>（8）已标价工程量清单；</w:t>
      </w:r>
    </w:p>
    <w:p w14:paraId="397C903C">
      <w:pPr>
        <w:spacing w:line="440" w:lineRule="exact"/>
        <w:ind w:firstLine="420" w:firstLineChars="200"/>
        <w:rPr>
          <w:rFonts w:cs="仿宋"/>
          <w:highlight w:val="none"/>
        </w:rPr>
      </w:pPr>
      <w:r>
        <w:rPr>
          <w:rFonts w:cs="仿宋"/>
          <w:highlight w:val="none"/>
        </w:rPr>
        <w:t>（</w:t>
      </w:r>
      <w:r>
        <w:rPr>
          <w:rFonts w:hint="eastAsia" w:cs="仿宋"/>
          <w:highlight w:val="none"/>
          <w:lang w:val="en-US" w:eastAsia="zh-CN"/>
        </w:rPr>
        <w:t>9</w:t>
      </w:r>
      <w:r>
        <w:rPr>
          <w:rFonts w:cs="仿宋"/>
          <w:highlight w:val="none"/>
        </w:rPr>
        <w:t>）其他合同文件。</w:t>
      </w:r>
    </w:p>
    <w:p w14:paraId="6732C3A8">
      <w:pPr>
        <w:spacing w:line="440" w:lineRule="exact"/>
        <w:ind w:firstLine="420" w:firstLineChars="200"/>
        <w:rPr>
          <w:rFonts w:cs="仿宋"/>
          <w:highlight w:val="none"/>
        </w:rPr>
      </w:pPr>
      <w:r>
        <w:rPr>
          <w:rFonts w:cs="仿宋"/>
          <w:highlight w:val="none"/>
        </w:rPr>
        <w:t>3. 上述文件互相补充和解释，如有不明确或不一致之处，以合同约定次序在先者为准。</w:t>
      </w:r>
    </w:p>
    <w:p w14:paraId="143224D2">
      <w:pPr>
        <w:spacing w:line="440" w:lineRule="exact"/>
        <w:ind w:firstLine="420" w:firstLineChars="200"/>
        <w:rPr>
          <w:rFonts w:cs="仿宋"/>
          <w:highlight w:val="none"/>
        </w:rPr>
      </w:pPr>
      <w:r>
        <w:rPr>
          <w:rFonts w:cs="仿宋"/>
          <w:highlight w:val="none"/>
        </w:rPr>
        <w:t xml:space="preserve">4. </w:t>
      </w:r>
      <w:r>
        <w:rPr>
          <w:rFonts w:hint="eastAsia" w:cs="仿宋"/>
          <w:highlight w:val="none"/>
        </w:rPr>
        <w:t>本合同为固定单价合同，</w:t>
      </w:r>
      <w:r>
        <w:rPr>
          <w:rFonts w:cs="仿宋"/>
          <w:highlight w:val="none"/>
        </w:rPr>
        <w:t>根据工程量清单所列的预计数量和单价或总额价计算的签约合同价：人民币（大写）</w:t>
      </w:r>
      <w:r>
        <w:rPr>
          <w:rFonts w:hint="eastAsia" w:cs="仿宋"/>
          <w:highlight w:val="none"/>
          <w:u w:val="single"/>
          <w:lang w:val="en-US" w:eastAsia="zh-CN"/>
        </w:rPr>
        <w:t xml:space="preserve">      </w:t>
      </w:r>
      <w:r>
        <w:rPr>
          <w:rFonts w:cs="仿宋"/>
          <w:highlight w:val="none"/>
        </w:rPr>
        <w:t>元（</w:t>
      </w:r>
      <w:r>
        <w:rPr>
          <w:rFonts w:hint="eastAsia" w:cs="仿宋"/>
          <w:highlight w:val="none"/>
        </w:rPr>
        <w:t>¥</w:t>
      </w:r>
      <w:r>
        <w:rPr>
          <w:rFonts w:hint="eastAsia" w:cs="仿宋"/>
          <w:highlight w:val="none"/>
          <w:u w:val="single"/>
          <w:lang w:val="en-US" w:eastAsia="zh-CN"/>
        </w:rPr>
        <w:t xml:space="preserve">      </w:t>
      </w:r>
      <w:r>
        <w:rPr>
          <w:rFonts w:cs="仿宋"/>
          <w:highlight w:val="none"/>
        </w:rPr>
        <w:t>）。</w:t>
      </w:r>
    </w:p>
    <w:p w14:paraId="3DAF6FB9">
      <w:pPr>
        <w:spacing w:line="440" w:lineRule="exact"/>
        <w:ind w:firstLine="420" w:firstLineChars="200"/>
        <w:rPr>
          <w:rFonts w:cs="仿宋"/>
          <w:highlight w:val="none"/>
        </w:rPr>
      </w:pPr>
      <w:r>
        <w:rPr>
          <w:rFonts w:cs="仿宋"/>
          <w:highlight w:val="none"/>
        </w:rPr>
        <w:t>5. 承包人项目经理：</w:t>
      </w:r>
      <w:r>
        <w:rPr>
          <w:rFonts w:hint="eastAsia" w:cs="仿宋"/>
          <w:highlight w:val="none"/>
          <w:u w:val="single"/>
          <w:lang w:val="en-US" w:eastAsia="zh-CN"/>
        </w:rPr>
        <w:t xml:space="preserve">      </w:t>
      </w:r>
      <w:r>
        <w:rPr>
          <w:rFonts w:hint="eastAsia" w:cs="仿宋"/>
          <w:highlight w:val="none"/>
        </w:rPr>
        <w:t>；技术负责人：</w:t>
      </w:r>
      <w:r>
        <w:rPr>
          <w:rFonts w:hint="eastAsia" w:cs="仿宋"/>
          <w:highlight w:val="none"/>
          <w:u w:val="single"/>
          <w:lang w:val="en-US" w:eastAsia="zh-CN"/>
        </w:rPr>
        <w:t xml:space="preserve">      </w:t>
      </w:r>
      <w:r>
        <w:rPr>
          <w:rFonts w:cs="仿宋"/>
          <w:highlight w:val="none"/>
        </w:rPr>
        <w:t>。</w:t>
      </w:r>
    </w:p>
    <w:p w14:paraId="338CF8C7">
      <w:pPr>
        <w:spacing w:line="440" w:lineRule="exact"/>
        <w:ind w:firstLine="420" w:firstLineChars="200"/>
        <w:rPr>
          <w:rFonts w:cs="仿宋"/>
          <w:highlight w:val="none"/>
        </w:rPr>
      </w:pPr>
      <w:r>
        <w:rPr>
          <w:rFonts w:cs="仿宋"/>
          <w:highlight w:val="none"/>
        </w:rPr>
        <w:t>6. 质量</w:t>
      </w:r>
      <w:r>
        <w:rPr>
          <w:rFonts w:hint="eastAsia" w:cs="仿宋"/>
          <w:highlight w:val="none"/>
        </w:rPr>
        <w:t>要求</w:t>
      </w:r>
      <w:r>
        <w:rPr>
          <w:rFonts w:cs="仿宋"/>
          <w:highlight w:val="none"/>
        </w:rPr>
        <w:t>：达到交通运输部发布的《水运工程质量检验标准》合格等级，且达到江苏省市场监督管理局发布的《内河航道维护技术及质量评定规范》优良等级。</w:t>
      </w:r>
    </w:p>
    <w:p w14:paraId="0B6D6849">
      <w:pPr>
        <w:spacing w:line="440" w:lineRule="exact"/>
        <w:ind w:firstLine="420" w:firstLineChars="200"/>
        <w:rPr>
          <w:rFonts w:cs="仿宋"/>
          <w:highlight w:val="none"/>
        </w:rPr>
      </w:pPr>
      <w:r>
        <w:rPr>
          <w:rFonts w:cs="仿宋"/>
          <w:highlight w:val="none"/>
        </w:rPr>
        <w:t>安全目标：无一般及以上安全生产事故，</w:t>
      </w:r>
      <w:r>
        <w:rPr>
          <w:rFonts w:hint="eastAsia" w:cs="仿宋"/>
          <w:highlight w:val="none"/>
          <w:lang w:val="en-US" w:eastAsia="zh-CN"/>
        </w:rPr>
        <w:t>确保</w:t>
      </w:r>
      <w:r>
        <w:rPr>
          <w:rFonts w:cs="仿宋"/>
          <w:highlight w:val="none"/>
        </w:rPr>
        <w:t>安全生产无责任事故。</w:t>
      </w:r>
    </w:p>
    <w:p w14:paraId="26628EE5">
      <w:pPr>
        <w:spacing w:line="440" w:lineRule="exact"/>
        <w:ind w:firstLine="420" w:firstLineChars="200"/>
        <w:rPr>
          <w:rFonts w:cs="仿宋"/>
          <w:highlight w:val="none"/>
        </w:rPr>
      </w:pPr>
      <w:r>
        <w:rPr>
          <w:rFonts w:cs="仿宋"/>
          <w:highlight w:val="none"/>
        </w:rPr>
        <w:t>7. 承包人承诺按合同约定承担工程的实施、完成及缺陷修复。</w:t>
      </w:r>
    </w:p>
    <w:p w14:paraId="4D166B13">
      <w:pPr>
        <w:spacing w:line="440" w:lineRule="exact"/>
        <w:ind w:firstLine="420" w:firstLineChars="200"/>
        <w:rPr>
          <w:rFonts w:cs="仿宋"/>
          <w:highlight w:val="none"/>
        </w:rPr>
      </w:pPr>
      <w:r>
        <w:rPr>
          <w:rFonts w:cs="仿宋"/>
          <w:highlight w:val="none"/>
        </w:rPr>
        <w:t>8. 发包人承诺按合同约定的条件、时间和方式向承包人支付合同价款。</w:t>
      </w:r>
    </w:p>
    <w:p w14:paraId="19458838">
      <w:pPr>
        <w:spacing w:line="440" w:lineRule="exact"/>
        <w:ind w:firstLine="420" w:firstLineChars="200"/>
        <w:rPr>
          <w:highlight w:val="none"/>
        </w:rPr>
      </w:pPr>
      <w:r>
        <w:rPr>
          <w:rFonts w:hint="eastAsia"/>
          <w:highlight w:val="none"/>
          <w:lang w:val="en-US" w:eastAsia="zh-CN"/>
        </w:rPr>
        <w:t>项目</w:t>
      </w:r>
      <w:r>
        <w:rPr>
          <w:rFonts w:hint="eastAsia"/>
          <w:highlight w:val="none"/>
        </w:rPr>
        <w:t>通过工程</w:t>
      </w:r>
      <w:r>
        <w:rPr>
          <w:rFonts w:hint="eastAsia"/>
          <w:highlight w:val="none"/>
          <w:lang w:eastAsia="zh-CN"/>
        </w:rPr>
        <w:t>（</w:t>
      </w:r>
      <w:r>
        <w:rPr>
          <w:rFonts w:hint="eastAsia"/>
          <w:highlight w:val="none"/>
          <w:lang w:val="en-US" w:eastAsia="zh-CN"/>
        </w:rPr>
        <w:t>交</w:t>
      </w:r>
      <w:r>
        <w:rPr>
          <w:rFonts w:hint="eastAsia"/>
          <w:highlight w:val="none"/>
          <w:lang w:eastAsia="zh-CN"/>
        </w:rPr>
        <w:t>）</w:t>
      </w:r>
      <w:r>
        <w:rPr>
          <w:rFonts w:hint="eastAsia"/>
          <w:highlight w:val="none"/>
        </w:rPr>
        <w:t>竣工验收并达到质量要求且工程结算审核报告已经确认后支付至审定价的97%；缺陷责任期满后付清余款。支付工程款的同时要求承包人向发包人提供有效发票。以上付款均不计利息。</w:t>
      </w:r>
    </w:p>
    <w:p w14:paraId="4A41B67A">
      <w:pPr>
        <w:spacing w:line="440" w:lineRule="exact"/>
        <w:ind w:firstLine="420" w:firstLineChars="200"/>
        <w:rPr>
          <w:rFonts w:cs="仿宋"/>
          <w:highlight w:val="none"/>
        </w:rPr>
      </w:pPr>
      <w:r>
        <w:rPr>
          <w:rFonts w:cs="仿宋"/>
          <w:highlight w:val="none"/>
        </w:rPr>
        <w:t>9. 承包人应按照监理人指示开工，工期为</w:t>
      </w:r>
      <w:r>
        <w:rPr>
          <w:rFonts w:hint="eastAsia" w:cs="仿宋"/>
          <w:highlight w:val="none"/>
          <w:u w:val="single"/>
          <w:lang w:val="en-US" w:eastAsia="zh-CN"/>
        </w:rPr>
        <w:t xml:space="preserve">      </w:t>
      </w:r>
      <w:r>
        <w:rPr>
          <w:rFonts w:cs="仿宋"/>
          <w:highlight w:val="none"/>
        </w:rPr>
        <w:t>。</w:t>
      </w:r>
    </w:p>
    <w:p w14:paraId="77CC92C4">
      <w:pPr>
        <w:spacing w:line="440" w:lineRule="exact"/>
        <w:ind w:firstLine="420" w:firstLineChars="200"/>
        <w:rPr>
          <w:rFonts w:cs="仿宋"/>
          <w:highlight w:val="none"/>
        </w:rPr>
      </w:pPr>
      <w:r>
        <w:rPr>
          <w:rFonts w:cs="仿宋"/>
          <w:highlight w:val="none"/>
        </w:rPr>
        <w:t>10. 本协议书在承包人提供履约担保后，由双方法定代表人或其委托代理人签署并加盖单位章后生效。全部工程</w:t>
      </w:r>
      <w:r>
        <w:rPr>
          <w:rFonts w:hint="eastAsia" w:cs="仿宋"/>
          <w:highlight w:val="none"/>
        </w:rPr>
        <w:t>竣工并通过</w:t>
      </w:r>
      <w:r>
        <w:rPr>
          <w:rFonts w:cs="仿宋"/>
          <w:highlight w:val="none"/>
        </w:rPr>
        <w:t>验收、缺陷责任期满签发缺陷责任终止证书后失效。</w:t>
      </w:r>
    </w:p>
    <w:p w14:paraId="2A1CF007">
      <w:pPr>
        <w:spacing w:line="440" w:lineRule="exact"/>
        <w:ind w:firstLine="420" w:firstLineChars="200"/>
        <w:rPr>
          <w:rFonts w:cs="仿宋"/>
          <w:highlight w:val="none"/>
        </w:rPr>
      </w:pPr>
      <w:r>
        <w:rPr>
          <w:rFonts w:cs="仿宋"/>
          <w:highlight w:val="none"/>
        </w:rPr>
        <w:t>11．本协议书正本</w:t>
      </w:r>
      <w:r>
        <w:rPr>
          <w:rFonts w:hint="eastAsia" w:cs="仿宋"/>
          <w:highlight w:val="none"/>
        </w:rPr>
        <w:t>贰</w:t>
      </w:r>
      <w:r>
        <w:rPr>
          <w:rFonts w:cs="仿宋"/>
          <w:highlight w:val="none"/>
        </w:rPr>
        <w:t>份，副本</w:t>
      </w:r>
      <w:r>
        <w:rPr>
          <w:rFonts w:hint="eastAsia" w:cs="仿宋"/>
          <w:highlight w:val="none"/>
        </w:rPr>
        <w:t>肆</w:t>
      </w:r>
      <w:r>
        <w:rPr>
          <w:rFonts w:cs="仿宋"/>
          <w:highlight w:val="none"/>
        </w:rPr>
        <w:t>份，合同双方各执正本</w:t>
      </w:r>
      <w:r>
        <w:rPr>
          <w:rFonts w:hint="eastAsia" w:cs="仿宋"/>
          <w:highlight w:val="none"/>
        </w:rPr>
        <w:t>壹</w:t>
      </w:r>
      <w:r>
        <w:rPr>
          <w:rFonts w:cs="仿宋"/>
          <w:highlight w:val="none"/>
        </w:rPr>
        <w:t>份，副本</w:t>
      </w:r>
      <w:r>
        <w:rPr>
          <w:rFonts w:hint="eastAsia" w:cs="仿宋"/>
          <w:highlight w:val="none"/>
        </w:rPr>
        <w:t>贰</w:t>
      </w:r>
      <w:r>
        <w:rPr>
          <w:rFonts w:cs="仿宋"/>
          <w:highlight w:val="none"/>
        </w:rPr>
        <w:t>份，当正本与副本的内容不一致时，以正本为准。</w:t>
      </w:r>
    </w:p>
    <w:p w14:paraId="0A0F51E2">
      <w:pPr>
        <w:spacing w:line="440" w:lineRule="exact"/>
        <w:ind w:firstLine="420" w:firstLineChars="200"/>
        <w:rPr>
          <w:rFonts w:cs="仿宋"/>
          <w:highlight w:val="none"/>
        </w:rPr>
      </w:pPr>
      <w:r>
        <w:rPr>
          <w:rFonts w:cs="仿宋"/>
          <w:highlight w:val="none"/>
        </w:rPr>
        <w:t>12.争议解决方式：本合同在履行过程中发生的争议，由双方当事人协商解决，协商不成的，则向南通市中级人民法院提请诉讼。</w:t>
      </w:r>
    </w:p>
    <w:p w14:paraId="32BFD878">
      <w:pPr>
        <w:spacing w:line="440" w:lineRule="exact"/>
        <w:ind w:firstLine="420" w:firstLineChars="200"/>
        <w:rPr>
          <w:rFonts w:cs="仿宋"/>
          <w:highlight w:val="none"/>
        </w:rPr>
      </w:pPr>
      <w:r>
        <w:rPr>
          <w:rFonts w:hint="eastAsia" w:cs="仿宋"/>
          <w:highlight w:val="none"/>
        </w:rPr>
        <w:t>13</w:t>
      </w:r>
      <w:r>
        <w:rPr>
          <w:rFonts w:cs="仿宋"/>
          <w:highlight w:val="none"/>
        </w:rPr>
        <w:t>. 合同未尽事宜，双方另行签订补充协议。补充协议是合同的组成部分。</w:t>
      </w:r>
    </w:p>
    <w:p w14:paraId="66B1ACDE">
      <w:pPr>
        <w:pStyle w:val="20"/>
        <w:rPr>
          <w:highlight w:val="none"/>
        </w:rPr>
      </w:pPr>
    </w:p>
    <w:p w14:paraId="019D0777">
      <w:pPr>
        <w:spacing w:line="360" w:lineRule="auto"/>
        <w:rPr>
          <w:rFonts w:cs="仿宋"/>
          <w:highlight w:val="none"/>
        </w:rPr>
      </w:pPr>
      <w:r>
        <w:rPr>
          <w:rFonts w:cs="仿宋"/>
          <w:highlight w:val="none"/>
        </w:rPr>
        <w:t>发包人：（盖单位章）</w:t>
      </w:r>
      <w:r>
        <w:rPr>
          <w:rFonts w:hint="eastAsia" w:cs="仿宋"/>
          <w:highlight w:val="none"/>
        </w:rPr>
        <w:t xml:space="preserve">                  </w:t>
      </w:r>
      <w:r>
        <w:rPr>
          <w:rFonts w:cs="仿宋"/>
          <w:highlight w:val="none"/>
        </w:rPr>
        <w:t>承包人：（盖单位章）</w:t>
      </w:r>
    </w:p>
    <w:p w14:paraId="00342159">
      <w:pPr>
        <w:spacing w:line="360" w:lineRule="auto"/>
        <w:rPr>
          <w:rFonts w:cs="仿宋"/>
          <w:highlight w:val="none"/>
        </w:rPr>
      </w:pPr>
      <w:r>
        <w:rPr>
          <w:rFonts w:cs="仿宋"/>
          <w:highlight w:val="none"/>
        </w:rPr>
        <w:t>法定代表人</w:t>
      </w:r>
      <w:r>
        <w:rPr>
          <w:rFonts w:hint="eastAsia" w:cs="仿宋"/>
          <w:highlight w:val="none"/>
        </w:rPr>
        <w:t xml:space="preserve">                            </w:t>
      </w:r>
      <w:r>
        <w:rPr>
          <w:rFonts w:cs="仿宋"/>
          <w:highlight w:val="none"/>
        </w:rPr>
        <w:t>法定代表人</w:t>
      </w:r>
    </w:p>
    <w:p w14:paraId="6AF000E3">
      <w:pPr>
        <w:spacing w:line="360" w:lineRule="auto"/>
        <w:rPr>
          <w:rFonts w:cs="仿宋"/>
          <w:highlight w:val="none"/>
        </w:rPr>
      </w:pPr>
      <w:r>
        <w:rPr>
          <w:rFonts w:cs="仿宋"/>
          <w:highlight w:val="none"/>
        </w:rPr>
        <w:t>或其委托代理人：（签字）</w:t>
      </w:r>
      <w:r>
        <w:rPr>
          <w:rFonts w:hint="eastAsia" w:cs="仿宋"/>
          <w:highlight w:val="none"/>
        </w:rPr>
        <w:t xml:space="preserve">              </w:t>
      </w:r>
      <w:r>
        <w:rPr>
          <w:rFonts w:cs="仿宋"/>
          <w:highlight w:val="none"/>
        </w:rPr>
        <w:t>或其委托代理人：（签字）</w:t>
      </w:r>
    </w:p>
    <w:p w14:paraId="145EFA97">
      <w:pPr>
        <w:spacing w:line="360" w:lineRule="auto"/>
        <w:ind w:firstLine="2100" w:firstLineChars="1000"/>
        <w:rPr>
          <w:rFonts w:cs="仿宋"/>
          <w:highlight w:val="none"/>
        </w:rPr>
      </w:pPr>
      <w:r>
        <w:rPr>
          <w:rFonts w:cs="仿宋"/>
          <w:highlight w:val="none"/>
        </w:rPr>
        <w:t>年</w:t>
      </w:r>
      <w:r>
        <w:rPr>
          <w:rFonts w:hint="eastAsia" w:cs="仿宋"/>
          <w:highlight w:val="none"/>
        </w:rPr>
        <w:t xml:space="preserve">  </w:t>
      </w:r>
      <w:r>
        <w:rPr>
          <w:rFonts w:cs="仿宋"/>
          <w:highlight w:val="none"/>
        </w:rPr>
        <w:t>月</w:t>
      </w:r>
      <w:r>
        <w:rPr>
          <w:rFonts w:hint="eastAsia" w:cs="仿宋"/>
          <w:highlight w:val="none"/>
        </w:rPr>
        <w:t xml:space="preserve">  </w:t>
      </w:r>
      <w:r>
        <w:rPr>
          <w:rFonts w:cs="仿宋"/>
          <w:highlight w:val="none"/>
        </w:rPr>
        <w:t>日</w:t>
      </w:r>
      <w:r>
        <w:rPr>
          <w:rFonts w:hint="eastAsia" w:cs="仿宋"/>
          <w:highlight w:val="none"/>
        </w:rPr>
        <w:t xml:space="preserve">                             </w:t>
      </w:r>
      <w:r>
        <w:rPr>
          <w:rFonts w:cs="仿宋"/>
          <w:highlight w:val="none"/>
        </w:rPr>
        <w:t>年</w:t>
      </w:r>
      <w:r>
        <w:rPr>
          <w:rFonts w:hint="eastAsia" w:cs="仿宋"/>
          <w:highlight w:val="none"/>
        </w:rPr>
        <w:t xml:space="preserve">  </w:t>
      </w:r>
      <w:r>
        <w:rPr>
          <w:rFonts w:cs="仿宋"/>
          <w:highlight w:val="none"/>
        </w:rPr>
        <w:t>月</w:t>
      </w:r>
      <w:r>
        <w:rPr>
          <w:rFonts w:hint="eastAsia" w:cs="仿宋"/>
          <w:highlight w:val="none"/>
        </w:rPr>
        <w:t xml:space="preserve">  </w:t>
      </w:r>
      <w:r>
        <w:rPr>
          <w:rFonts w:cs="仿宋"/>
          <w:highlight w:val="none"/>
        </w:rPr>
        <w:t>日</w:t>
      </w:r>
    </w:p>
    <w:p w14:paraId="47523597">
      <w:pPr>
        <w:rPr>
          <w:rFonts w:cs="仿宋"/>
          <w:highlight w:val="none"/>
        </w:rPr>
      </w:pPr>
      <w:r>
        <w:rPr>
          <w:rFonts w:cs="仿宋"/>
          <w:highlight w:val="none"/>
        </w:rPr>
        <w:br w:type="page"/>
      </w:r>
    </w:p>
    <w:p w14:paraId="00E8AF58">
      <w:pPr>
        <w:pStyle w:val="5"/>
        <w:snapToGrid w:val="0"/>
        <w:spacing w:before="0" w:after="0" w:line="360" w:lineRule="auto"/>
        <w:rPr>
          <w:rFonts w:ascii="宋体" w:hAnsi="宋体" w:eastAsia="宋体"/>
          <w:color w:val="000000"/>
          <w:sz w:val="24"/>
          <w:szCs w:val="24"/>
          <w:highlight w:val="none"/>
        </w:rPr>
      </w:pPr>
      <w:r>
        <w:rPr>
          <w:rFonts w:hint="eastAsia" w:ascii="宋体" w:hAnsi="宋体" w:eastAsia="宋体"/>
          <w:color w:val="000000"/>
          <w:sz w:val="24"/>
          <w:szCs w:val="24"/>
          <w:highlight w:val="none"/>
        </w:rPr>
        <w:t>附件2：履约担保格式</w:t>
      </w:r>
    </w:p>
    <w:p w14:paraId="448A218D">
      <w:pPr>
        <w:autoSpaceDE w:val="0"/>
        <w:autoSpaceDN w:val="0"/>
        <w:adjustRightInd w:val="0"/>
        <w:spacing w:line="200" w:lineRule="exact"/>
        <w:jc w:val="left"/>
        <w:rPr>
          <w:rFonts w:ascii="宋体" w:hAnsi="宋体" w:cs="MingLiU"/>
          <w:color w:val="000000"/>
          <w:kern w:val="0"/>
          <w:sz w:val="20"/>
          <w:szCs w:val="20"/>
          <w:highlight w:val="none"/>
        </w:rPr>
      </w:pPr>
    </w:p>
    <w:p w14:paraId="4462CD76">
      <w:pPr>
        <w:autoSpaceDE w:val="0"/>
        <w:autoSpaceDN w:val="0"/>
        <w:adjustRightInd w:val="0"/>
        <w:spacing w:line="300" w:lineRule="exact"/>
        <w:ind w:left="3695" w:right="3775"/>
        <w:jc w:val="center"/>
        <w:rPr>
          <w:rFonts w:ascii="宋体" w:hAnsi="宋体" w:cs="MingLiU"/>
          <w:color w:val="000000"/>
          <w:kern w:val="0"/>
          <w:sz w:val="28"/>
          <w:szCs w:val="28"/>
          <w:highlight w:val="none"/>
        </w:rPr>
      </w:pPr>
      <w:r>
        <w:rPr>
          <w:rFonts w:hint="eastAsia" w:ascii="宋体" w:hAnsi="宋体" w:cs="MingLiU"/>
          <w:color w:val="000000"/>
          <w:w w:val="99"/>
          <w:kern w:val="0"/>
          <w:sz w:val="28"/>
          <w:szCs w:val="28"/>
          <w:highlight w:val="none"/>
        </w:rPr>
        <w:t>履约担保</w:t>
      </w:r>
    </w:p>
    <w:p w14:paraId="22F70914">
      <w:pPr>
        <w:autoSpaceDE w:val="0"/>
        <w:autoSpaceDN w:val="0"/>
        <w:adjustRightInd w:val="0"/>
        <w:spacing w:line="200" w:lineRule="exact"/>
        <w:jc w:val="left"/>
        <w:rPr>
          <w:rFonts w:ascii="宋体" w:hAnsi="宋体" w:cs="MingLiU"/>
          <w:color w:val="000000"/>
          <w:kern w:val="0"/>
          <w:sz w:val="20"/>
          <w:szCs w:val="20"/>
          <w:highlight w:val="none"/>
        </w:rPr>
      </w:pPr>
    </w:p>
    <w:p w14:paraId="6EAAFDBE">
      <w:pPr>
        <w:autoSpaceDE w:val="0"/>
        <w:autoSpaceDN w:val="0"/>
        <w:adjustRightInd w:val="0"/>
        <w:spacing w:before="1" w:line="240" w:lineRule="exact"/>
        <w:jc w:val="left"/>
        <w:rPr>
          <w:rFonts w:ascii="宋体" w:hAnsi="宋体" w:cs="MingLiU"/>
          <w:color w:val="000000"/>
          <w:kern w:val="0"/>
          <w:sz w:val="24"/>
          <w:highlight w:val="none"/>
        </w:rPr>
      </w:pPr>
    </w:p>
    <w:p w14:paraId="4440042D">
      <w:pPr>
        <w:tabs>
          <w:tab w:val="left" w:pos="2320"/>
        </w:tabs>
        <w:autoSpaceDE w:val="0"/>
        <w:autoSpaceDN w:val="0"/>
        <w:adjustRightInd w:val="0"/>
        <w:spacing w:line="220" w:lineRule="exact"/>
        <w:ind w:left="120" w:right="-20"/>
        <w:jc w:val="left"/>
        <w:rPr>
          <w:rFonts w:ascii="宋体" w:hAnsi="宋体" w:cs="MingLiU"/>
          <w:color w:val="000000"/>
          <w:kern w:val="0"/>
          <w:highlight w:val="none"/>
        </w:rPr>
      </w:pPr>
      <w:r>
        <w:rPr>
          <w:rFonts w:ascii="宋体" w:hAnsi="宋体"/>
          <w:color w:val="000000"/>
          <w:kern w:val="0"/>
          <w:highlight w:val="none"/>
          <w:u w:val="single"/>
        </w:rPr>
        <w:tab/>
      </w:r>
      <w:r>
        <w:rPr>
          <w:rFonts w:hint="eastAsia" w:ascii="宋体" w:hAnsi="宋体" w:cs="MingLiU"/>
          <w:color w:val="000000"/>
          <w:kern w:val="0"/>
          <w:highlight w:val="none"/>
        </w:rPr>
        <w:t>（发包</w:t>
      </w:r>
      <w:r>
        <w:rPr>
          <w:rFonts w:hint="eastAsia" w:ascii="宋体" w:hAnsi="宋体" w:cs="MingLiU"/>
          <w:color w:val="000000"/>
          <w:spacing w:val="0"/>
          <w:kern w:val="0"/>
          <w:highlight w:val="none"/>
        </w:rPr>
        <w:t>人</w:t>
      </w:r>
      <w:r>
        <w:rPr>
          <w:rFonts w:hint="eastAsia" w:ascii="宋体" w:hAnsi="宋体" w:cs="MingLiU"/>
          <w:color w:val="000000"/>
          <w:kern w:val="0"/>
          <w:highlight w:val="none"/>
        </w:rPr>
        <w:t>名称</w:t>
      </w:r>
      <w:r>
        <w:rPr>
          <w:rFonts w:hint="eastAsia" w:ascii="宋体" w:hAnsi="宋体" w:cs="MingLiU"/>
          <w:color w:val="000000"/>
          <w:spacing w:val="0"/>
          <w:kern w:val="0"/>
          <w:highlight w:val="none"/>
        </w:rPr>
        <w:t>）</w:t>
      </w:r>
      <w:r>
        <w:rPr>
          <w:rFonts w:hint="eastAsia" w:ascii="宋体" w:hAnsi="宋体" w:cs="MingLiU"/>
          <w:color w:val="000000"/>
          <w:kern w:val="0"/>
          <w:highlight w:val="none"/>
        </w:rPr>
        <w:t>：</w:t>
      </w:r>
    </w:p>
    <w:p w14:paraId="0734A877">
      <w:pPr>
        <w:autoSpaceDE w:val="0"/>
        <w:autoSpaceDN w:val="0"/>
        <w:adjustRightInd w:val="0"/>
        <w:spacing w:before="14" w:line="140" w:lineRule="exact"/>
        <w:jc w:val="left"/>
        <w:rPr>
          <w:rFonts w:ascii="宋体" w:hAnsi="宋体" w:cs="MingLiU"/>
          <w:color w:val="000000"/>
          <w:kern w:val="0"/>
          <w:sz w:val="14"/>
          <w:szCs w:val="14"/>
          <w:highlight w:val="none"/>
        </w:rPr>
      </w:pPr>
    </w:p>
    <w:p w14:paraId="32326C23">
      <w:pPr>
        <w:autoSpaceDE w:val="0"/>
        <w:autoSpaceDN w:val="0"/>
        <w:adjustRightInd w:val="0"/>
        <w:spacing w:line="200" w:lineRule="exact"/>
        <w:jc w:val="left"/>
        <w:rPr>
          <w:rFonts w:ascii="宋体" w:hAnsi="宋体" w:cs="MingLiU"/>
          <w:color w:val="000000"/>
          <w:kern w:val="0"/>
          <w:sz w:val="20"/>
          <w:szCs w:val="20"/>
          <w:highlight w:val="none"/>
        </w:rPr>
      </w:pPr>
    </w:p>
    <w:p w14:paraId="577292EA">
      <w:pPr>
        <w:autoSpaceDE w:val="0"/>
        <w:autoSpaceDN w:val="0"/>
        <w:adjustRightInd w:val="0"/>
        <w:spacing w:line="200" w:lineRule="exact"/>
        <w:jc w:val="left"/>
        <w:rPr>
          <w:rFonts w:ascii="宋体" w:hAnsi="宋体" w:cs="MingLiU"/>
          <w:color w:val="000000"/>
          <w:kern w:val="0"/>
          <w:sz w:val="20"/>
          <w:szCs w:val="20"/>
          <w:highlight w:val="none"/>
        </w:rPr>
      </w:pPr>
    </w:p>
    <w:p w14:paraId="5C2F867E">
      <w:pPr>
        <w:autoSpaceDE w:val="0"/>
        <w:autoSpaceDN w:val="0"/>
        <w:adjustRightInd w:val="0"/>
        <w:spacing w:line="353" w:lineRule="auto"/>
        <w:ind w:left="120" w:right="-11" w:firstLine="420"/>
        <w:jc w:val="left"/>
        <w:rPr>
          <w:rFonts w:ascii="宋体" w:hAnsi="宋体" w:cs="MingLiU"/>
          <w:color w:val="000000"/>
          <w:spacing w:val="0"/>
          <w:kern w:val="0"/>
          <w:position w:val="0"/>
          <w:sz w:val="21"/>
          <w:highlight w:val="none"/>
        </w:rPr>
      </w:pPr>
      <w:r>
        <w:rPr>
          <w:rFonts w:hint="eastAsia" w:ascii="宋体" w:hAnsi="宋体" w:cs="MingLiU"/>
          <w:color w:val="000000"/>
          <w:spacing w:val="0"/>
          <w:kern w:val="0"/>
          <w:position w:val="0"/>
          <w:sz w:val="21"/>
          <w:highlight w:val="none"/>
        </w:rPr>
        <w:t>鉴于</w:t>
      </w:r>
      <w:r>
        <w:rPr>
          <w:rFonts w:ascii="宋体" w:hAnsi="宋体"/>
          <w:color w:val="000000"/>
          <w:spacing w:val="0"/>
          <w:kern w:val="0"/>
          <w:position w:val="0"/>
          <w:sz w:val="21"/>
          <w:highlight w:val="none"/>
          <w:u w:val="single"/>
        </w:rPr>
        <w:tab/>
      </w:r>
      <w:r>
        <w:rPr>
          <w:rFonts w:hint="eastAsia" w:cs="仿宋"/>
          <w:spacing w:val="0"/>
          <w:position w:val="0"/>
          <w:sz w:val="21"/>
          <w:highlight w:val="none"/>
          <w:u w:val="single"/>
          <w:lang w:val="en-US" w:eastAsia="zh-CN"/>
        </w:rPr>
        <w:t xml:space="preserve">      </w:t>
      </w:r>
      <w:r>
        <w:rPr>
          <w:rFonts w:hint="eastAsia" w:ascii="宋体" w:hAnsi="宋体" w:cs="MingLiU"/>
          <w:color w:val="000000"/>
          <w:spacing w:val="0"/>
          <w:kern w:val="0"/>
          <w:position w:val="0"/>
          <w:sz w:val="21"/>
          <w:highlight w:val="none"/>
        </w:rPr>
        <w:t>（发包人名称，以下简称</w:t>
      </w:r>
      <w:r>
        <w:rPr>
          <w:rFonts w:ascii="宋体" w:hAnsi="宋体"/>
          <w:color w:val="000000"/>
          <w:spacing w:val="0"/>
          <w:kern w:val="0"/>
          <w:position w:val="0"/>
          <w:sz w:val="21"/>
          <w:highlight w:val="none"/>
        </w:rPr>
        <w:t>“</w:t>
      </w:r>
      <w:r>
        <w:rPr>
          <w:rFonts w:hint="eastAsia" w:ascii="宋体" w:hAnsi="宋体" w:cs="MingLiU"/>
          <w:color w:val="000000"/>
          <w:spacing w:val="0"/>
          <w:kern w:val="0"/>
          <w:position w:val="0"/>
          <w:sz w:val="21"/>
          <w:highlight w:val="none"/>
        </w:rPr>
        <w:t>发包人</w:t>
      </w:r>
      <w:r>
        <w:rPr>
          <w:rFonts w:ascii="宋体" w:hAnsi="宋体"/>
          <w:color w:val="000000"/>
          <w:spacing w:val="0"/>
          <w:kern w:val="0"/>
          <w:position w:val="0"/>
          <w:sz w:val="21"/>
          <w:highlight w:val="none"/>
        </w:rPr>
        <w:t>”</w:t>
      </w:r>
      <w:r>
        <w:rPr>
          <w:rFonts w:hint="eastAsia" w:ascii="宋体" w:hAnsi="宋体" w:cs="MingLiU"/>
          <w:color w:val="000000"/>
          <w:spacing w:val="0"/>
          <w:kern w:val="0"/>
          <w:position w:val="0"/>
          <w:sz w:val="21"/>
          <w:highlight w:val="none"/>
        </w:rPr>
        <w:t>）接受</w:t>
      </w:r>
      <w:r>
        <w:rPr>
          <w:rFonts w:ascii="宋体" w:hAnsi="宋体"/>
          <w:color w:val="000000"/>
          <w:spacing w:val="0"/>
          <w:kern w:val="0"/>
          <w:position w:val="0"/>
          <w:sz w:val="21"/>
          <w:highlight w:val="none"/>
          <w:u w:val="single"/>
        </w:rPr>
        <w:tab/>
      </w:r>
      <w:r>
        <w:rPr>
          <w:rFonts w:hint="eastAsia" w:ascii="宋体" w:hAnsi="宋体" w:cs="MingLiU"/>
          <w:color w:val="000000"/>
          <w:spacing w:val="0"/>
          <w:kern w:val="0"/>
          <w:position w:val="0"/>
          <w:sz w:val="21"/>
          <w:highlight w:val="none"/>
        </w:rPr>
        <w:t>（承包人名称）</w:t>
      </w:r>
      <w:r>
        <w:rPr>
          <w:rFonts w:hint="eastAsia" w:cs="仿宋"/>
          <w:spacing w:val="0"/>
          <w:position w:val="0"/>
          <w:sz w:val="21"/>
          <w:highlight w:val="none"/>
          <w:u w:val="single"/>
          <w:lang w:val="en-US" w:eastAsia="zh-CN"/>
        </w:rPr>
        <w:t xml:space="preserve">      </w:t>
      </w:r>
      <w:r>
        <w:rPr>
          <w:rFonts w:hint="eastAsia" w:ascii="宋体" w:hAnsi="宋体" w:cs="MingLiU"/>
          <w:color w:val="000000"/>
          <w:spacing w:val="0"/>
          <w:kern w:val="0"/>
          <w:position w:val="0"/>
          <w:sz w:val="21"/>
          <w:highlight w:val="none"/>
        </w:rPr>
        <w:t>（以下称</w:t>
      </w:r>
      <w:r>
        <w:rPr>
          <w:rFonts w:ascii="宋体" w:hAnsi="宋体"/>
          <w:color w:val="000000"/>
          <w:spacing w:val="0"/>
          <w:kern w:val="0"/>
          <w:position w:val="0"/>
          <w:sz w:val="21"/>
          <w:highlight w:val="none"/>
        </w:rPr>
        <w:t>“</w:t>
      </w:r>
      <w:r>
        <w:rPr>
          <w:rFonts w:hint="eastAsia" w:ascii="宋体" w:hAnsi="宋体" w:cs="MingLiU"/>
          <w:color w:val="000000"/>
          <w:spacing w:val="0"/>
          <w:kern w:val="0"/>
          <w:position w:val="0"/>
          <w:sz w:val="21"/>
          <w:highlight w:val="none"/>
        </w:rPr>
        <w:t>承包人</w:t>
      </w:r>
      <w:r>
        <w:rPr>
          <w:rFonts w:ascii="宋体" w:hAnsi="宋体"/>
          <w:color w:val="000000"/>
          <w:spacing w:val="0"/>
          <w:kern w:val="0"/>
          <w:position w:val="0"/>
          <w:sz w:val="21"/>
          <w:highlight w:val="none"/>
        </w:rPr>
        <w:t>”</w:t>
      </w:r>
      <w:r>
        <w:rPr>
          <w:rFonts w:hint="eastAsia" w:ascii="宋体" w:hAnsi="宋体" w:cs="MingLiU"/>
          <w:color w:val="000000"/>
          <w:spacing w:val="0"/>
          <w:kern w:val="0"/>
          <w:position w:val="0"/>
          <w:sz w:val="21"/>
          <w:highlight w:val="none"/>
        </w:rPr>
        <w:t>）于</w:t>
      </w:r>
      <w:r>
        <w:rPr>
          <w:rFonts w:ascii="宋体" w:hAnsi="宋体"/>
          <w:color w:val="000000"/>
          <w:spacing w:val="0"/>
          <w:kern w:val="0"/>
          <w:position w:val="0"/>
          <w:sz w:val="21"/>
          <w:highlight w:val="none"/>
          <w:u w:val="single"/>
        </w:rPr>
        <w:tab/>
      </w:r>
      <w:r>
        <w:rPr>
          <w:rFonts w:hint="eastAsia" w:ascii="宋体" w:hAnsi="宋体" w:cs="MingLiU"/>
          <w:color w:val="000000"/>
          <w:spacing w:val="0"/>
          <w:kern w:val="0"/>
          <w:position w:val="0"/>
          <w:sz w:val="21"/>
          <w:highlight w:val="none"/>
        </w:rPr>
        <w:t>年月日参加</w:t>
      </w:r>
      <w:r>
        <w:rPr>
          <w:rFonts w:ascii="宋体" w:hAnsi="宋体"/>
          <w:color w:val="000000"/>
          <w:spacing w:val="0"/>
          <w:kern w:val="0"/>
          <w:position w:val="0"/>
          <w:sz w:val="21"/>
          <w:highlight w:val="none"/>
          <w:u w:val="single"/>
        </w:rPr>
        <w:tab/>
      </w:r>
      <w:r>
        <w:rPr>
          <w:rFonts w:hint="eastAsia" w:ascii="宋体" w:hAnsi="宋体" w:cs="MingLiU"/>
          <w:color w:val="000000"/>
          <w:spacing w:val="0"/>
          <w:kern w:val="0"/>
          <w:position w:val="0"/>
          <w:sz w:val="21"/>
          <w:highlight w:val="none"/>
          <w:u w:val="single"/>
        </w:rPr>
        <w:t>（项目名称）</w:t>
      </w:r>
      <w:r>
        <w:rPr>
          <w:rFonts w:ascii="宋体" w:hAnsi="宋体"/>
          <w:color w:val="000000"/>
          <w:spacing w:val="0"/>
          <w:kern w:val="0"/>
          <w:position w:val="0"/>
          <w:sz w:val="21"/>
          <w:highlight w:val="none"/>
          <w:u w:val="single"/>
        </w:rPr>
        <w:tab/>
      </w:r>
      <w:r>
        <w:rPr>
          <w:rFonts w:hint="eastAsia" w:ascii="宋体" w:hAnsi="宋体" w:cs="MingLiU"/>
          <w:color w:val="000000"/>
          <w:spacing w:val="0"/>
          <w:kern w:val="0"/>
          <w:position w:val="0"/>
          <w:sz w:val="21"/>
          <w:highlight w:val="none"/>
        </w:rPr>
        <w:t>标段施工的投标。我方愿意无条件地、不可撤销地就承包人履行与你方订立的合同，向你方提供担保。</w:t>
      </w:r>
    </w:p>
    <w:p w14:paraId="38E75632">
      <w:pPr>
        <w:autoSpaceDE w:val="0"/>
        <w:autoSpaceDN w:val="0"/>
        <w:adjustRightInd w:val="0"/>
        <w:spacing w:line="353" w:lineRule="auto"/>
        <w:ind w:left="120" w:right="-11" w:firstLine="420"/>
        <w:jc w:val="left"/>
        <w:rPr>
          <w:rFonts w:ascii="宋体" w:hAnsi="宋体" w:cs="MingLiU"/>
          <w:color w:val="000000"/>
          <w:spacing w:val="0"/>
          <w:kern w:val="0"/>
          <w:position w:val="0"/>
          <w:sz w:val="21"/>
          <w:highlight w:val="none"/>
        </w:rPr>
      </w:pPr>
      <w:r>
        <w:rPr>
          <w:rFonts w:ascii="宋体" w:hAnsi="宋体"/>
          <w:color w:val="000000"/>
          <w:spacing w:val="0"/>
          <w:kern w:val="0"/>
          <w:position w:val="0"/>
          <w:sz w:val="21"/>
          <w:highlight w:val="none"/>
        </w:rPr>
        <w:t>1.</w:t>
      </w:r>
      <w:r>
        <w:rPr>
          <w:rFonts w:hint="eastAsia" w:ascii="宋体" w:hAnsi="宋体" w:cs="MingLiU"/>
          <w:color w:val="000000"/>
          <w:spacing w:val="0"/>
          <w:kern w:val="0"/>
          <w:position w:val="0"/>
          <w:sz w:val="21"/>
          <w:highlight w:val="none"/>
        </w:rPr>
        <w:t>担保金额人民币（大写）</w:t>
      </w:r>
      <w:r>
        <w:rPr>
          <w:rFonts w:hint="eastAsia" w:cs="仿宋"/>
          <w:spacing w:val="0"/>
          <w:position w:val="0"/>
          <w:sz w:val="21"/>
          <w:highlight w:val="none"/>
          <w:u w:val="single"/>
          <w:lang w:val="en-US" w:eastAsia="zh-CN"/>
        </w:rPr>
        <w:t xml:space="preserve">      </w:t>
      </w:r>
      <w:r>
        <w:rPr>
          <w:rFonts w:ascii="宋体" w:hAnsi="宋体"/>
          <w:color w:val="000000"/>
          <w:spacing w:val="0"/>
          <w:kern w:val="0"/>
          <w:position w:val="0"/>
          <w:sz w:val="21"/>
          <w:highlight w:val="none"/>
          <w:u w:val="single"/>
        </w:rPr>
        <w:tab/>
      </w:r>
      <w:r>
        <w:rPr>
          <w:rFonts w:hint="eastAsia" w:ascii="宋体" w:hAnsi="宋体" w:cs="MingLiU"/>
          <w:color w:val="000000"/>
          <w:spacing w:val="0"/>
          <w:kern w:val="0"/>
          <w:position w:val="0"/>
          <w:sz w:val="21"/>
          <w:highlight w:val="none"/>
        </w:rPr>
        <w:t>元（</w:t>
      </w:r>
      <w:r>
        <w:rPr>
          <w:rFonts w:ascii="宋体" w:hAnsi="宋体"/>
          <w:color w:val="000000"/>
          <w:spacing w:val="0"/>
          <w:kern w:val="0"/>
          <w:position w:val="0"/>
          <w:sz w:val="21"/>
          <w:highlight w:val="none"/>
        </w:rPr>
        <w:t>¥</w:t>
      </w:r>
      <w:r>
        <w:rPr>
          <w:rFonts w:hint="eastAsia" w:cs="仿宋"/>
          <w:spacing w:val="0"/>
          <w:position w:val="0"/>
          <w:sz w:val="21"/>
          <w:highlight w:val="none"/>
          <w:u w:val="single"/>
          <w:lang w:val="en-US" w:eastAsia="zh-CN"/>
        </w:rPr>
        <w:t xml:space="preserve">      </w:t>
      </w:r>
      <w:r>
        <w:rPr>
          <w:rFonts w:ascii="宋体" w:hAnsi="宋体"/>
          <w:color w:val="000000"/>
          <w:spacing w:val="0"/>
          <w:kern w:val="0"/>
          <w:position w:val="0"/>
          <w:sz w:val="21"/>
          <w:highlight w:val="none"/>
          <w:u w:val="single"/>
        </w:rPr>
        <w:tab/>
      </w:r>
      <w:r>
        <w:rPr>
          <w:rFonts w:hint="eastAsia" w:ascii="宋体" w:hAnsi="宋体" w:cs="MingLiU"/>
          <w:color w:val="000000"/>
          <w:spacing w:val="0"/>
          <w:kern w:val="0"/>
          <w:position w:val="0"/>
          <w:sz w:val="21"/>
          <w:highlight w:val="none"/>
        </w:rPr>
        <w:t>）。</w:t>
      </w:r>
    </w:p>
    <w:p w14:paraId="6ED46D55">
      <w:pPr>
        <w:autoSpaceDE w:val="0"/>
        <w:autoSpaceDN w:val="0"/>
        <w:adjustRightInd w:val="0"/>
        <w:spacing w:line="353" w:lineRule="auto"/>
        <w:ind w:left="120" w:right="-11" w:firstLine="420"/>
        <w:jc w:val="left"/>
        <w:rPr>
          <w:rFonts w:ascii="宋体" w:hAnsi="宋体" w:cs="MingLiU"/>
          <w:color w:val="000000"/>
          <w:spacing w:val="0"/>
          <w:kern w:val="0"/>
          <w:position w:val="0"/>
          <w:sz w:val="21"/>
          <w:highlight w:val="none"/>
        </w:rPr>
      </w:pPr>
      <w:r>
        <w:rPr>
          <w:rFonts w:ascii="宋体" w:hAnsi="宋体" w:cs="MingLiU"/>
          <w:color w:val="000000"/>
          <w:spacing w:val="0"/>
          <w:kern w:val="0"/>
          <w:position w:val="0"/>
          <w:sz w:val="21"/>
          <w:highlight w:val="none"/>
        </w:rPr>
        <w:t>2.</w:t>
      </w:r>
      <w:r>
        <w:rPr>
          <w:rFonts w:hint="eastAsia" w:ascii="宋体" w:hAnsi="宋体" w:cs="MingLiU"/>
          <w:color w:val="000000"/>
          <w:spacing w:val="0"/>
          <w:kern w:val="0"/>
          <w:position w:val="0"/>
          <w:sz w:val="21"/>
          <w:highlight w:val="none"/>
        </w:rPr>
        <w:t>担保有效期自发包人与承包人签订的合同生效之日起至发包人签发工程接收证书之日止。</w:t>
      </w:r>
    </w:p>
    <w:p w14:paraId="48023128">
      <w:pPr>
        <w:autoSpaceDE w:val="0"/>
        <w:autoSpaceDN w:val="0"/>
        <w:adjustRightInd w:val="0"/>
        <w:spacing w:line="353" w:lineRule="auto"/>
        <w:ind w:left="120" w:right="-11" w:firstLine="420"/>
        <w:jc w:val="left"/>
        <w:rPr>
          <w:rFonts w:ascii="宋体" w:hAnsi="宋体" w:cs="MingLiU"/>
          <w:color w:val="000000"/>
          <w:spacing w:val="0"/>
          <w:kern w:val="0"/>
          <w:position w:val="0"/>
          <w:sz w:val="21"/>
          <w:highlight w:val="none"/>
        </w:rPr>
      </w:pPr>
      <w:r>
        <w:rPr>
          <w:rFonts w:ascii="宋体" w:hAnsi="宋体"/>
          <w:color w:val="000000"/>
          <w:spacing w:val="0"/>
          <w:kern w:val="0"/>
          <w:position w:val="0"/>
          <w:sz w:val="21"/>
          <w:highlight w:val="none"/>
        </w:rPr>
        <w:t>3.</w:t>
      </w:r>
      <w:r>
        <w:rPr>
          <w:rFonts w:hint="eastAsia" w:ascii="宋体" w:hAnsi="宋体" w:cs="MingLiU"/>
          <w:color w:val="000000"/>
          <w:spacing w:val="0"/>
          <w:kern w:val="0"/>
          <w:position w:val="0"/>
          <w:sz w:val="21"/>
          <w:highlight w:val="none"/>
        </w:rPr>
        <w:t>在本担保有效期内，因承包人违反合同约定的义务给你方造成经济损失时，我方在收到你方以书面形式提出的在担保金额内的赔偿要求后，在</w:t>
      </w:r>
      <w:r>
        <w:rPr>
          <w:rFonts w:ascii="宋体" w:hAnsi="宋体"/>
          <w:color w:val="000000"/>
          <w:spacing w:val="0"/>
          <w:kern w:val="0"/>
          <w:position w:val="0"/>
          <w:sz w:val="21"/>
          <w:highlight w:val="none"/>
        </w:rPr>
        <w:t xml:space="preserve"> 7</w:t>
      </w:r>
      <w:r>
        <w:rPr>
          <w:rFonts w:hint="eastAsia" w:ascii="宋体" w:hAnsi="宋体" w:cs="MingLiU"/>
          <w:color w:val="000000"/>
          <w:spacing w:val="0"/>
          <w:kern w:val="0"/>
          <w:position w:val="0"/>
          <w:sz w:val="21"/>
          <w:highlight w:val="none"/>
        </w:rPr>
        <w:t>天内无条件支付。</w:t>
      </w:r>
    </w:p>
    <w:p w14:paraId="0AB105DA">
      <w:pPr>
        <w:autoSpaceDE w:val="0"/>
        <w:autoSpaceDN w:val="0"/>
        <w:adjustRightInd w:val="0"/>
        <w:spacing w:line="353" w:lineRule="auto"/>
        <w:ind w:left="120" w:right="-11" w:firstLine="420"/>
        <w:jc w:val="left"/>
        <w:rPr>
          <w:rFonts w:ascii="宋体" w:hAnsi="宋体" w:cs="MingLiU"/>
          <w:color w:val="000000"/>
          <w:kern w:val="0"/>
          <w:highlight w:val="none"/>
        </w:rPr>
      </w:pPr>
      <w:r>
        <w:rPr>
          <w:rFonts w:ascii="宋体" w:hAnsi="宋体"/>
          <w:color w:val="000000"/>
          <w:spacing w:val="0"/>
          <w:kern w:val="0"/>
          <w:position w:val="0"/>
          <w:sz w:val="21"/>
          <w:highlight w:val="none"/>
        </w:rPr>
        <w:t>4.</w:t>
      </w:r>
      <w:r>
        <w:rPr>
          <w:rFonts w:hint="eastAsia" w:ascii="宋体" w:hAnsi="宋体" w:cs="MingLiU"/>
          <w:color w:val="000000"/>
          <w:spacing w:val="0"/>
          <w:kern w:val="0"/>
          <w:position w:val="0"/>
          <w:sz w:val="21"/>
          <w:highlight w:val="none"/>
        </w:rPr>
        <w:t>发包人和承包人按《通用合同条款》第</w:t>
      </w:r>
      <w:r>
        <w:rPr>
          <w:rFonts w:ascii="宋体" w:hAnsi="宋体"/>
          <w:color w:val="000000"/>
          <w:spacing w:val="0"/>
          <w:kern w:val="0"/>
          <w:position w:val="0"/>
          <w:sz w:val="21"/>
          <w:highlight w:val="none"/>
        </w:rPr>
        <w:t xml:space="preserve"> 15</w:t>
      </w:r>
      <w:r>
        <w:rPr>
          <w:rFonts w:hint="eastAsia" w:ascii="宋体" w:hAnsi="宋体" w:cs="MingLiU"/>
          <w:color w:val="000000"/>
          <w:spacing w:val="0"/>
          <w:kern w:val="0"/>
          <w:position w:val="0"/>
          <w:sz w:val="21"/>
          <w:highlight w:val="none"/>
        </w:rPr>
        <w:t>条变更合同时，我方承担本担保规定的义务不变。</w:t>
      </w:r>
    </w:p>
    <w:p w14:paraId="1490D41B">
      <w:pPr>
        <w:autoSpaceDE w:val="0"/>
        <w:autoSpaceDN w:val="0"/>
        <w:adjustRightInd w:val="0"/>
        <w:spacing w:line="200" w:lineRule="exact"/>
        <w:jc w:val="left"/>
        <w:rPr>
          <w:rFonts w:ascii="宋体" w:hAnsi="宋体" w:cs="MingLiU"/>
          <w:color w:val="000000"/>
          <w:kern w:val="0"/>
          <w:sz w:val="20"/>
          <w:szCs w:val="20"/>
          <w:highlight w:val="none"/>
        </w:rPr>
      </w:pPr>
    </w:p>
    <w:p w14:paraId="75DB8F31">
      <w:pPr>
        <w:autoSpaceDE w:val="0"/>
        <w:autoSpaceDN w:val="0"/>
        <w:adjustRightInd w:val="0"/>
        <w:spacing w:before="8" w:line="200" w:lineRule="exact"/>
        <w:jc w:val="left"/>
        <w:rPr>
          <w:rFonts w:ascii="宋体" w:hAnsi="宋体" w:cs="MingLiU"/>
          <w:color w:val="000000"/>
          <w:kern w:val="0"/>
          <w:sz w:val="20"/>
          <w:szCs w:val="20"/>
          <w:highlight w:val="none"/>
        </w:rPr>
      </w:pPr>
    </w:p>
    <w:p w14:paraId="3CC6E09A">
      <w:pPr>
        <w:tabs>
          <w:tab w:val="left" w:pos="4160"/>
          <w:tab w:val="left" w:pos="7100"/>
          <w:tab w:val="left" w:pos="7520"/>
          <w:tab w:val="left" w:pos="8360"/>
        </w:tabs>
        <w:autoSpaceDE w:val="0"/>
        <w:autoSpaceDN w:val="0"/>
        <w:adjustRightInd w:val="0"/>
        <w:spacing w:line="360" w:lineRule="auto"/>
        <w:ind w:left="3539" w:right="257"/>
        <w:rPr>
          <w:rFonts w:ascii="宋体" w:hAnsi="宋体"/>
          <w:color w:val="000000"/>
          <w:kern w:val="0"/>
          <w:highlight w:val="none"/>
        </w:rPr>
      </w:pPr>
      <w:r>
        <w:rPr>
          <w:rFonts w:hint="eastAsia" w:ascii="宋体" w:hAnsi="宋体" w:cs="MingLiU"/>
          <w:color w:val="000000"/>
          <w:kern w:val="0"/>
          <w:highlight w:val="none"/>
        </w:rPr>
        <w:t>担保人</w:t>
      </w:r>
      <w:r>
        <w:rPr>
          <w:rFonts w:hint="eastAsia" w:ascii="宋体" w:hAnsi="宋体" w:cs="MingLiU"/>
          <w:color w:val="000000"/>
          <w:spacing w:val="-1"/>
          <w:kern w:val="0"/>
          <w:highlight w:val="none"/>
        </w:rPr>
        <w:t>：</w:t>
      </w:r>
      <w:r>
        <w:rPr>
          <w:rFonts w:ascii="宋体" w:hAnsi="宋体"/>
          <w:color w:val="000000"/>
          <w:kern w:val="0"/>
          <w:highlight w:val="none"/>
          <w:u w:val="single"/>
        </w:rPr>
        <w:tab/>
      </w:r>
      <w:r>
        <w:rPr>
          <w:rFonts w:hint="eastAsia" w:ascii="宋体" w:hAnsi="宋体" w:cs="MingLiU"/>
          <w:color w:val="000000"/>
          <w:kern w:val="0"/>
          <w:highlight w:val="none"/>
        </w:rPr>
        <w:t>（盖单位</w:t>
      </w:r>
      <w:r>
        <w:rPr>
          <w:rFonts w:hint="eastAsia" w:ascii="宋体" w:hAnsi="宋体" w:cs="MingLiU"/>
          <w:color w:val="000000"/>
          <w:spacing w:val="-1"/>
          <w:kern w:val="0"/>
          <w:highlight w:val="none"/>
        </w:rPr>
        <w:t>章</w:t>
      </w:r>
      <w:r>
        <w:rPr>
          <w:rFonts w:hint="eastAsia" w:ascii="宋体" w:hAnsi="宋体" w:cs="MingLiU"/>
          <w:color w:val="000000"/>
          <w:kern w:val="0"/>
          <w:highlight w:val="none"/>
        </w:rPr>
        <w:t>）</w:t>
      </w:r>
    </w:p>
    <w:p w14:paraId="057C8C28">
      <w:pPr>
        <w:tabs>
          <w:tab w:val="left" w:pos="4160"/>
          <w:tab w:val="left" w:pos="7100"/>
          <w:tab w:val="left" w:pos="7520"/>
          <w:tab w:val="left" w:pos="8360"/>
        </w:tabs>
        <w:autoSpaceDE w:val="0"/>
        <w:autoSpaceDN w:val="0"/>
        <w:adjustRightInd w:val="0"/>
        <w:spacing w:line="360" w:lineRule="auto"/>
        <w:ind w:left="3539" w:right="257"/>
        <w:rPr>
          <w:rFonts w:ascii="宋体" w:hAnsi="宋体"/>
          <w:color w:val="000000"/>
          <w:kern w:val="0"/>
          <w:highlight w:val="none"/>
        </w:rPr>
      </w:pPr>
      <w:r>
        <w:rPr>
          <w:rFonts w:hint="eastAsia" w:ascii="宋体" w:hAnsi="宋体" w:cs="MingLiU"/>
          <w:color w:val="000000"/>
          <w:kern w:val="0"/>
          <w:highlight w:val="none"/>
        </w:rPr>
        <w:t>法定代表人或其委托代理人：</w:t>
      </w:r>
      <w:r>
        <w:rPr>
          <w:rFonts w:ascii="宋体" w:hAnsi="宋体"/>
          <w:color w:val="000000"/>
          <w:kern w:val="0"/>
          <w:highlight w:val="none"/>
          <w:u w:val="single"/>
        </w:rPr>
        <w:tab/>
      </w:r>
      <w:r>
        <w:rPr>
          <w:rFonts w:ascii="宋体" w:hAnsi="宋体"/>
          <w:color w:val="000000"/>
          <w:kern w:val="0"/>
          <w:highlight w:val="none"/>
          <w:u w:val="single"/>
        </w:rPr>
        <w:tab/>
      </w:r>
      <w:r>
        <w:rPr>
          <w:rFonts w:hint="eastAsia" w:ascii="宋体" w:hAnsi="宋体" w:cs="MingLiU"/>
          <w:color w:val="000000"/>
          <w:kern w:val="0"/>
          <w:highlight w:val="none"/>
        </w:rPr>
        <w:t>（</w:t>
      </w:r>
      <w:r>
        <w:rPr>
          <w:rFonts w:hint="eastAsia" w:ascii="宋体" w:hAnsi="宋体" w:cs="MingLiU"/>
          <w:color w:val="000000"/>
          <w:spacing w:val="-1"/>
          <w:kern w:val="0"/>
          <w:highlight w:val="none"/>
        </w:rPr>
        <w:t>签</w:t>
      </w:r>
      <w:r>
        <w:rPr>
          <w:rFonts w:hint="eastAsia" w:ascii="宋体" w:hAnsi="宋体" w:cs="MingLiU"/>
          <w:color w:val="000000"/>
          <w:kern w:val="0"/>
          <w:highlight w:val="none"/>
        </w:rPr>
        <w:t>字）</w:t>
      </w:r>
    </w:p>
    <w:p w14:paraId="3C974F1C">
      <w:pPr>
        <w:tabs>
          <w:tab w:val="left" w:pos="4160"/>
          <w:tab w:val="left" w:pos="7100"/>
          <w:tab w:val="left" w:pos="7520"/>
          <w:tab w:val="left" w:pos="8360"/>
        </w:tabs>
        <w:autoSpaceDE w:val="0"/>
        <w:autoSpaceDN w:val="0"/>
        <w:adjustRightInd w:val="0"/>
        <w:spacing w:line="360" w:lineRule="auto"/>
        <w:ind w:left="3539" w:right="257"/>
        <w:rPr>
          <w:rFonts w:ascii="宋体" w:hAnsi="宋体" w:cs="MingLiU"/>
          <w:color w:val="000000"/>
          <w:kern w:val="0"/>
          <w:highlight w:val="none"/>
        </w:rPr>
      </w:pPr>
      <w:r>
        <w:rPr>
          <w:rFonts w:hint="eastAsia" w:ascii="宋体" w:hAnsi="宋体" w:cs="MingLiU"/>
          <w:color w:val="000000"/>
          <w:kern w:val="0"/>
          <w:highlight w:val="none"/>
        </w:rPr>
        <w:t>地</w:t>
      </w:r>
      <w:r>
        <w:rPr>
          <w:rFonts w:ascii="宋体" w:hAnsi="宋体"/>
          <w:color w:val="000000"/>
          <w:kern w:val="0"/>
          <w:highlight w:val="none"/>
        </w:rPr>
        <w:tab/>
      </w:r>
      <w:r>
        <w:rPr>
          <w:rFonts w:hint="eastAsia" w:ascii="宋体" w:hAnsi="宋体" w:cs="MingLiU"/>
          <w:color w:val="000000"/>
          <w:kern w:val="0"/>
          <w:highlight w:val="none"/>
        </w:rPr>
        <w:t>址</w:t>
      </w:r>
      <w:r>
        <w:rPr>
          <w:rFonts w:hint="eastAsia" w:ascii="宋体" w:hAnsi="宋体" w:cs="MingLiU"/>
          <w:color w:val="000000"/>
          <w:spacing w:val="-1"/>
          <w:kern w:val="0"/>
          <w:highlight w:val="none"/>
        </w:rPr>
        <w:t>：</w:t>
      </w:r>
      <w:r>
        <w:rPr>
          <w:rFonts w:ascii="宋体" w:hAnsi="宋体"/>
          <w:color w:val="000000"/>
          <w:kern w:val="0"/>
          <w:highlight w:val="none"/>
          <w:u w:val="single"/>
        </w:rPr>
        <w:tab/>
      </w:r>
      <w:r>
        <w:rPr>
          <w:rFonts w:ascii="宋体" w:hAnsi="宋体"/>
          <w:color w:val="000000"/>
          <w:kern w:val="0"/>
          <w:highlight w:val="none"/>
          <w:u w:val="single"/>
        </w:rPr>
        <w:tab/>
      </w:r>
      <w:r>
        <w:rPr>
          <w:rFonts w:ascii="宋体" w:hAnsi="宋体"/>
          <w:color w:val="000000"/>
          <w:kern w:val="0"/>
          <w:highlight w:val="none"/>
          <w:u w:val="single"/>
        </w:rPr>
        <w:tab/>
      </w:r>
    </w:p>
    <w:p w14:paraId="3167465A">
      <w:pPr>
        <w:tabs>
          <w:tab w:val="left" w:pos="8300"/>
        </w:tabs>
        <w:autoSpaceDE w:val="0"/>
        <w:autoSpaceDN w:val="0"/>
        <w:adjustRightInd w:val="0"/>
        <w:spacing w:line="360" w:lineRule="auto"/>
        <w:ind w:left="3539" w:right="-20"/>
        <w:jc w:val="left"/>
        <w:rPr>
          <w:rFonts w:ascii="宋体" w:hAnsi="宋体" w:cs="MingLiU"/>
          <w:color w:val="000000"/>
          <w:kern w:val="0"/>
          <w:highlight w:val="none"/>
        </w:rPr>
      </w:pPr>
      <w:r>
        <w:rPr>
          <w:rFonts w:hint="eastAsia" w:ascii="宋体" w:hAnsi="宋体" w:cs="MingLiU"/>
          <w:color w:val="000000"/>
          <w:kern w:val="0"/>
          <w:highlight w:val="none"/>
        </w:rPr>
        <w:t>邮政编码：</w:t>
      </w:r>
      <w:r>
        <w:rPr>
          <w:rFonts w:ascii="宋体" w:hAnsi="宋体"/>
          <w:color w:val="000000"/>
          <w:kern w:val="0"/>
          <w:highlight w:val="none"/>
          <w:u w:val="single"/>
        </w:rPr>
        <w:tab/>
      </w:r>
    </w:p>
    <w:p w14:paraId="55B9EC31">
      <w:pPr>
        <w:tabs>
          <w:tab w:val="left" w:pos="4160"/>
          <w:tab w:val="left" w:pos="8260"/>
        </w:tabs>
        <w:autoSpaceDE w:val="0"/>
        <w:autoSpaceDN w:val="0"/>
        <w:adjustRightInd w:val="0"/>
        <w:spacing w:line="360" w:lineRule="auto"/>
        <w:ind w:left="3539" w:right="-20"/>
        <w:jc w:val="left"/>
        <w:rPr>
          <w:rFonts w:ascii="宋体" w:hAnsi="宋体" w:cs="MingLiU"/>
          <w:color w:val="000000"/>
          <w:kern w:val="0"/>
          <w:highlight w:val="none"/>
        </w:rPr>
      </w:pPr>
      <w:r>
        <w:rPr>
          <w:rFonts w:hint="eastAsia" w:ascii="宋体" w:hAnsi="宋体" w:cs="MingLiU"/>
          <w:color w:val="000000"/>
          <w:kern w:val="0"/>
          <w:highlight w:val="none"/>
        </w:rPr>
        <w:t>电</w:t>
      </w:r>
      <w:r>
        <w:rPr>
          <w:rFonts w:ascii="宋体" w:hAnsi="宋体"/>
          <w:color w:val="000000"/>
          <w:kern w:val="0"/>
          <w:highlight w:val="none"/>
        </w:rPr>
        <w:tab/>
      </w:r>
      <w:r>
        <w:rPr>
          <w:rFonts w:hint="eastAsia" w:ascii="宋体" w:hAnsi="宋体" w:cs="MingLiU"/>
          <w:color w:val="000000"/>
          <w:kern w:val="0"/>
          <w:highlight w:val="none"/>
        </w:rPr>
        <w:t>话</w:t>
      </w:r>
      <w:r>
        <w:rPr>
          <w:rFonts w:hint="eastAsia" w:ascii="宋体" w:hAnsi="宋体" w:cs="MingLiU"/>
          <w:color w:val="000000"/>
          <w:spacing w:val="-1"/>
          <w:kern w:val="0"/>
          <w:highlight w:val="none"/>
        </w:rPr>
        <w:t>：</w:t>
      </w:r>
      <w:r>
        <w:rPr>
          <w:rFonts w:ascii="宋体" w:hAnsi="宋体"/>
          <w:color w:val="000000"/>
          <w:kern w:val="0"/>
          <w:highlight w:val="none"/>
          <w:u w:val="single"/>
        </w:rPr>
        <w:tab/>
      </w:r>
    </w:p>
    <w:p w14:paraId="77722CAD">
      <w:pPr>
        <w:tabs>
          <w:tab w:val="left" w:pos="4160"/>
          <w:tab w:val="left" w:pos="8260"/>
        </w:tabs>
        <w:autoSpaceDE w:val="0"/>
        <w:autoSpaceDN w:val="0"/>
        <w:adjustRightInd w:val="0"/>
        <w:spacing w:line="360" w:lineRule="auto"/>
        <w:ind w:left="3539" w:right="-20"/>
        <w:jc w:val="left"/>
        <w:rPr>
          <w:rFonts w:ascii="宋体" w:hAnsi="宋体" w:cs="MingLiU"/>
          <w:color w:val="000000"/>
          <w:kern w:val="0"/>
          <w:highlight w:val="none"/>
        </w:rPr>
      </w:pPr>
      <w:r>
        <w:rPr>
          <w:rFonts w:hint="eastAsia" w:ascii="宋体" w:hAnsi="宋体" w:cs="MingLiU"/>
          <w:color w:val="000000"/>
          <w:kern w:val="0"/>
          <w:highlight w:val="none"/>
        </w:rPr>
        <w:t>传</w:t>
      </w:r>
      <w:r>
        <w:rPr>
          <w:rFonts w:ascii="宋体" w:hAnsi="宋体"/>
          <w:color w:val="000000"/>
          <w:kern w:val="0"/>
          <w:highlight w:val="none"/>
        </w:rPr>
        <w:tab/>
      </w:r>
      <w:r>
        <w:rPr>
          <w:rFonts w:hint="eastAsia" w:ascii="宋体" w:hAnsi="宋体" w:cs="MingLiU"/>
          <w:color w:val="000000"/>
          <w:kern w:val="0"/>
          <w:highlight w:val="none"/>
        </w:rPr>
        <w:t>真</w:t>
      </w:r>
      <w:r>
        <w:rPr>
          <w:rFonts w:hint="eastAsia" w:ascii="宋体" w:hAnsi="宋体" w:cs="MingLiU"/>
          <w:color w:val="000000"/>
          <w:spacing w:val="-1"/>
          <w:kern w:val="0"/>
          <w:highlight w:val="none"/>
        </w:rPr>
        <w:t>：</w:t>
      </w:r>
      <w:r>
        <w:rPr>
          <w:rFonts w:ascii="宋体" w:hAnsi="宋体"/>
          <w:color w:val="000000"/>
          <w:kern w:val="0"/>
          <w:highlight w:val="none"/>
          <w:u w:val="single"/>
        </w:rPr>
        <w:tab/>
      </w:r>
    </w:p>
    <w:p w14:paraId="368244E3">
      <w:pPr>
        <w:tabs>
          <w:tab w:val="left" w:pos="5940"/>
          <w:tab w:val="left" w:pos="7000"/>
          <w:tab w:val="left" w:pos="8040"/>
        </w:tabs>
        <w:autoSpaceDE w:val="0"/>
        <w:autoSpaceDN w:val="0"/>
        <w:adjustRightInd w:val="0"/>
        <w:spacing w:line="360" w:lineRule="auto"/>
        <w:ind w:left="4904" w:right="-20"/>
        <w:jc w:val="left"/>
        <w:rPr>
          <w:rFonts w:ascii="宋体" w:hAnsi="宋体" w:cs="MingLiU"/>
          <w:color w:val="000000"/>
          <w:kern w:val="0"/>
          <w:highlight w:val="none"/>
        </w:rPr>
      </w:pPr>
      <w:r>
        <w:rPr>
          <w:rFonts w:ascii="宋体" w:hAnsi="宋体"/>
          <w:color w:val="000000"/>
          <w:kern w:val="0"/>
          <w:highlight w:val="none"/>
          <w:u w:val="single"/>
        </w:rPr>
        <w:tab/>
      </w:r>
      <w:r>
        <w:rPr>
          <w:rFonts w:hint="eastAsia" w:ascii="宋体" w:hAnsi="宋体" w:cs="MingLiU"/>
          <w:color w:val="000000"/>
          <w:kern w:val="0"/>
          <w:highlight w:val="none"/>
        </w:rPr>
        <w:t>年</w:t>
      </w:r>
      <w:r>
        <w:rPr>
          <w:rFonts w:ascii="宋体" w:hAnsi="宋体"/>
          <w:color w:val="000000"/>
          <w:kern w:val="0"/>
          <w:highlight w:val="none"/>
          <w:u w:val="single"/>
        </w:rPr>
        <w:tab/>
      </w:r>
      <w:r>
        <w:rPr>
          <w:rFonts w:hint="eastAsia" w:ascii="宋体" w:hAnsi="宋体" w:cs="MingLiU"/>
          <w:color w:val="000000"/>
          <w:kern w:val="0"/>
          <w:highlight w:val="none"/>
        </w:rPr>
        <w:t>月</w:t>
      </w:r>
      <w:r>
        <w:rPr>
          <w:rFonts w:ascii="宋体" w:hAnsi="宋体"/>
          <w:color w:val="000000"/>
          <w:kern w:val="0"/>
          <w:highlight w:val="none"/>
          <w:u w:val="single"/>
        </w:rPr>
        <w:tab/>
      </w:r>
      <w:r>
        <w:rPr>
          <w:rFonts w:hint="eastAsia" w:ascii="宋体" w:hAnsi="宋体" w:cs="MingLiU"/>
          <w:color w:val="000000"/>
          <w:kern w:val="0"/>
          <w:highlight w:val="none"/>
        </w:rPr>
        <w:t>日</w:t>
      </w:r>
    </w:p>
    <w:p w14:paraId="53A2EC5B">
      <w:pPr>
        <w:autoSpaceDE w:val="0"/>
        <w:autoSpaceDN w:val="0"/>
        <w:adjustRightInd w:val="0"/>
        <w:spacing w:line="360" w:lineRule="auto"/>
        <w:jc w:val="left"/>
        <w:rPr>
          <w:rFonts w:ascii="宋体" w:hAnsi="宋体" w:cs="MingLiU"/>
          <w:color w:val="000000"/>
          <w:kern w:val="0"/>
          <w:sz w:val="20"/>
          <w:szCs w:val="20"/>
          <w:highlight w:val="none"/>
        </w:rPr>
      </w:pPr>
    </w:p>
    <w:p w14:paraId="5C6D79C2">
      <w:pPr>
        <w:autoSpaceDE w:val="0"/>
        <w:autoSpaceDN w:val="0"/>
        <w:adjustRightInd w:val="0"/>
        <w:spacing w:line="200" w:lineRule="exact"/>
        <w:jc w:val="left"/>
        <w:rPr>
          <w:rFonts w:ascii="宋体" w:hAnsi="宋体" w:cs="MingLiU"/>
          <w:color w:val="000000"/>
          <w:kern w:val="0"/>
          <w:sz w:val="20"/>
          <w:szCs w:val="20"/>
          <w:highlight w:val="none"/>
        </w:rPr>
      </w:pPr>
    </w:p>
    <w:p w14:paraId="651233BB">
      <w:pPr>
        <w:rPr>
          <w:rFonts w:ascii="宋体" w:hAnsi="宋体"/>
          <w:b/>
          <w:sz w:val="22"/>
          <w:szCs w:val="22"/>
          <w:highlight w:val="none"/>
        </w:rPr>
      </w:pPr>
      <w:r>
        <w:rPr>
          <w:rFonts w:hint="eastAsia" w:ascii="宋体" w:hAnsi="宋体"/>
          <w:b/>
          <w:sz w:val="22"/>
          <w:szCs w:val="22"/>
          <w:highlight w:val="none"/>
        </w:rPr>
        <w:br w:type="page"/>
      </w:r>
    </w:p>
    <w:p w14:paraId="08AD89C1">
      <w:pPr>
        <w:spacing w:line="360" w:lineRule="auto"/>
        <w:rPr>
          <w:rFonts w:ascii="宋体" w:hAnsi="宋体"/>
          <w:b/>
          <w:sz w:val="22"/>
          <w:szCs w:val="22"/>
          <w:highlight w:val="none"/>
        </w:rPr>
      </w:pPr>
      <w:r>
        <w:rPr>
          <w:rFonts w:hint="eastAsia" w:ascii="宋体" w:hAnsi="宋体"/>
          <w:b/>
          <w:sz w:val="22"/>
          <w:szCs w:val="22"/>
          <w:highlight w:val="none"/>
        </w:rPr>
        <w:t>附件3  廉洁合同</w:t>
      </w:r>
    </w:p>
    <w:p w14:paraId="12D49401">
      <w:pPr>
        <w:spacing w:line="360" w:lineRule="auto"/>
        <w:jc w:val="center"/>
        <w:rPr>
          <w:rFonts w:ascii="宋体" w:hAnsi="宋体"/>
          <w:b/>
          <w:sz w:val="22"/>
          <w:szCs w:val="22"/>
          <w:highlight w:val="none"/>
        </w:rPr>
      </w:pPr>
      <w:r>
        <w:rPr>
          <w:rFonts w:hint="eastAsia" w:ascii="宋体" w:hAnsi="宋体"/>
          <w:b/>
          <w:sz w:val="22"/>
          <w:szCs w:val="22"/>
          <w:highlight w:val="none"/>
        </w:rPr>
        <w:t>廉洁合同</w:t>
      </w:r>
    </w:p>
    <w:p w14:paraId="5B9F681B">
      <w:pPr>
        <w:adjustRightInd w:val="0"/>
        <w:snapToGrid w:val="0"/>
        <w:spacing w:line="324" w:lineRule="auto"/>
        <w:ind w:firstLine="420" w:firstLineChars="200"/>
        <w:jc w:val="left"/>
        <w:rPr>
          <w:rFonts w:ascii="宋体" w:hAnsi="宋体"/>
          <w:highlight w:val="none"/>
        </w:rPr>
      </w:pPr>
      <w:r>
        <w:rPr>
          <w:rFonts w:ascii="宋体" w:hAnsi="宋体"/>
          <w:highlight w:val="none"/>
        </w:rPr>
        <w:t>根据交通部《关于在交通基础设施建设中加强廉政建设的若</w:t>
      </w:r>
      <w:r>
        <w:rPr>
          <w:rFonts w:hint="eastAsia" w:ascii="宋体" w:hAnsi="宋体"/>
          <w:highlight w:val="none"/>
        </w:rPr>
        <w:t>干</w:t>
      </w:r>
      <w:r>
        <w:rPr>
          <w:rFonts w:ascii="宋体" w:hAnsi="宋体"/>
          <w:highlight w:val="none"/>
        </w:rPr>
        <w:t>意见》以及有关工程建设、廉政建设的规定，为做好工程建设中的党风廉政建设，保证工程建设高效优质，保证建设资金的安全和有效使用以及投资效益，</w:t>
      </w:r>
      <w:r>
        <w:rPr>
          <w:rFonts w:hint="eastAsia" w:cs="仿宋"/>
          <w:highlight w:val="none"/>
          <w:u w:val="single"/>
          <w:lang w:val="en-US" w:eastAsia="zh-CN"/>
        </w:rPr>
        <w:t xml:space="preserve">      </w:t>
      </w:r>
      <w:r>
        <w:rPr>
          <w:rFonts w:ascii="宋体" w:hAnsi="宋体"/>
          <w:highlight w:val="none"/>
        </w:rPr>
        <w:t>（以下称</w:t>
      </w:r>
      <w:r>
        <w:rPr>
          <w:rFonts w:hint="eastAsia" w:ascii="宋体" w:hAnsi="宋体"/>
          <w:highlight w:val="none"/>
        </w:rPr>
        <w:t>发包</w:t>
      </w:r>
      <w:r>
        <w:rPr>
          <w:rFonts w:ascii="宋体" w:hAnsi="宋体"/>
          <w:highlight w:val="none"/>
        </w:rPr>
        <w:t>人或甲方）与承包人</w:t>
      </w:r>
      <w:r>
        <w:rPr>
          <w:rFonts w:ascii="宋体" w:hAnsi="宋体"/>
          <w:highlight w:val="none"/>
          <w:u w:val="single"/>
        </w:rPr>
        <w:t>（全称）</w:t>
      </w:r>
      <w:r>
        <w:rPr>
          <w:rFonts w:ascii="宋体" w:hAnsi="宋体"/>
          <w:highlight w:val="none"/>
        </w:rPr>
        <w:t>（以下称</w:t>
      </w:r>
      <w:r>
        <w:rPr>
          <w:rFonts w:hint="eastAsia" w:ascii="宋体" w:hAnsi="宋体"/>
          <w:highlight w:val="none"/>
        </w:rPr>
        <w:t>承包</w:t>
      </w:r>
      <w:r>
        <w:rPr>
          <w:rFonts w:ascii="宋体" w:hAnsi="宋体"/>
          <w:highlight w:val="none"/>
        </w:rPr>
        <w:t>人或乙方），特订立如下合同。</w:t>
      </w:r>
    </w:p>
    <w:p w14:paraId="7938B833">
      <w:pPr>
        <w:adjustRightInd w:val="0"/>
        <w:snapToGrid w:val="0"/>
        <w:spacing w:line="324" w:lineRule="auto"/>
        <w:ind w:firstLine="422" w:firstLineChars="200"/>
        <w:jc w:val="left"/>
        <w:rPr>
          <w:rFonts w:ascii="宋体" w:hAnsi="宋体"/>
          <w:highlight w:val="none"/>
        </w:rPr>
      </w:pPr>
      <w:r>
        <w:rPr>
          <w:rFonts w:ascii="宋体" w:hAnsi="宋体"/>
          <w:b/>
          <w:highlight w:val="none"/>
        </w:rPr>
        <w:t>第一条</w:t>
      </w:r>
      <w:r>
        <w:rPr>
          <w:rFonts w:hint="eastAsia" w:ascii="宋体" w:hAnsi="宋体"/>
          <w:highlight w:val="none"/>
        </w:rPr>
        <w:t>甲乙</w:t>
      </w:r>
      <w:r>
        <w:rPr>
          <w:rFonts w:ascii="宋体" w:hAnsi="宋体"/>
          <w:highlight w:val="none"/>
        </w:rPr>
        <w:t>双方的权利和义务</w:t>
      </w:r>
    </w:p>
    <w:p w14:paraId="278FA25E">
      <w:pPr>
        <w:adjustRightInd w:val="0"/>
        <w:snapToGrid w:val="0"/>
        <w:spacing w:line="324" w:lineRule="auto"/>
        <w:ind w:firstLine="420" w:firstLineChars="200"/>
        <w:jc w:val="left"/>
        <w:rPr>
          <w:rFonts w:ascii="宋体" w:hAnsi="宋体"/>
          <w:highlight w:val="none"/>
        </w:rPr>
      </w:pPr>
      <w:r>
        <w:rPr>
          <w:rFonts w:ascii="宋体" w:hAnsi="宋体"/>
          <w:highlight w:val="none"/>
        </w:rPr>
        <w:t>（一）严格遵守国家有关法律法规及交通</w:t>
      </w:r>
      <w:r>
        <w:rPr>
          <w:rFonts w:hint="eastAsia" w:ascii="宋体" w:hAnsi="宋体"/>
          <w:highlight w:val="none"/>
        </w:rPr>
        <w:t>运输</w:t>
      </w:r>
      <w:r>
        <w:rPr>
          <w:rFonts w:ascii="宋体" w:hAnsi="宋体"/>
          <w:highlight w:val="none"/>
        </w:rPr>
        <w:t>部的有关规定。</w:t>
      </w:r>
    </w:p>
    <w:p w14:paraId="519F2CA9">
      <w:pPr>
        <w:adjustRightInd w:val="0"/>
        <w:snapToGrid w:val="0"/>
        <w:spacing w:line="324" w:lineRule="auto"/>
        <w:ind w:firstLine="420" w:firstLineChars="200"/>
        <w:jc w:val="left"/>
        <w:rPr>
          <w:rFonts w:ascii="宋体" w:hAnsi="宋体"/>
          <w:highlight w:val="none"/>
        </w:rPr>
      </w:pPr>
      <w:r>
        <w:rPr>
          <w:rFonts w:ascii="宋体" w:hAnsi="宋体"/>
          <w:highlight w:val="none"/>
        </w:rPr>
        <w:t>（二）严格执行项目</w:t>
      </w:r>
      <w:r>
        <w:rPr>
          <w:rFonts w:hint="eastAsia" w:ascii="宋体" w:hAnsi="宋体"/>
          <w:highlight w:val="none"/>
        </w:rPr>
        <w:t>标段</w:t>
      </w:r>
      <w:r>
        <w:rPr>
          <w:rFonts w:ascii="宋体" w:hAnsi="宋体"/>
          <w:highlight w:val="none"/>
        </w:rPr>
        <w:t>的合同文件，自觉按合同办事。</w:t>
      </w:r>
    </w:p>
    <w:p w14:paraId="0158610F">
      <w:pPr>
        <w:adjustRightInd w:val="0"/>
        <w:snapToGrid w:val="0"/>
        <w:spacing w:line="324" w:lineRule="auto"/>
        <w:ind w:firstLine="420" w:firstLineChars="200"/>
        <w:jc w:val="left"/>
        <w:rPr>
          <w:rFonts w:ascii="宋体" w:hAnsi="宋体"/>
          <w:highlight w:val="none"/>
        </w:rPr>
      </w:pPr>
      <w:r>
        <w:rPr>
          <w:rFonts w:ascii="宋体" w:hAnsi="宋体"/>
          <w:highlight w:val="none"/>
        </w:rPr>
        <w:t>（三）双方的业务活动坚持公开、公正、诚信、透明的原则（除法律认定的商业秘密和合同文件另有规定之外），不得损害国家和集体利益，违反工程建设管理规章制度。</w:t>
      </w:r>
    </w:p>
    <w:p w14:paraId="205FDF0F">
      <w:pPr>
        <w:adjustRightInd w:val="0"/>
        <w:snapToGrid w:val="0"/>
        <w:spacing w:line="324" w:lineRule="auto"/>
        <w:ind w:firstLine="420" w:firstLineChars="200"/>
        <w:jc w:val="left"/>
        <w:rPr>
          <w:rFonts w:ascii="宋体" w:hAnsi="宋体"/>
          <w:highlight w:val="none"/>
        </w:rPr>
      </w:pPr>
      <w:r>
        <w:rPr>
          <w:rFonts w:ascii="宋体" w:hAnsi="宋体"/>
          <w:highlight w:val="none"/>
        </w:rPr>
        <w:t>（四）建立健全廉政制度，开展廉政教育，设立廉政告示牌，公布举报电话，监督并认真查处违法违纪行为。</w:t>
      </w:r>
    </w:p>
    <w:p w14:paraId="04C28660">
      <w:pPr>
        <w:adjustRightInd w:val="0"/>
        <w:snapToGrid w:val="0"/>
        <w:spacing w:line="324" w:lineRule="auto"/>
        <w:ind w:firstLine="420" w:firstLineChars="200"/>
        <w:jc w:val="left"/>
        <w:rPr>
          <w:rFonts w:ascii="宋体" w:hAnsi="宋体"/>
          <w:highlight w:val="none"/>
        </w:rPr>
      </w:pPr>
      <w:r>
        <w:rPr>
          <w:rFonts w:ascii="宋体" w:hAnsi="宋体"/>
          <w:highlight w:val="none"/>
        </w:rPr>
        <w:t>（五）发现对方在业务活动中有违反廉政规定的行为，有及时提醒对方纠正的权利和义务。</w:t>
      </w:r>
    </w:p>
    <w:p w14:paraId="536DE368">
      <w:pPr>
        <w:adjustRightInd w:val="0"/>
        <w:snapToGrid w:val="0"/>
        <w:spacing w:line="324" w:lineRule="auto"/>
        <w:ind w:firstLine="420" w:firstLineChars="200"/>
        <w:jc w:val="left"/>
        <w:rPr>
          <w:rFonts w:ascii="宋体" w:hAnsi="宋体"/>
          <w:highlight w:val="none"/>
        </w:rPr>
      </w:pPr>
      <w:r>
        <w:rPr>
          <w:rFonts w:ascii="宋体" w:hAnsi="宋体"/>
          <w:highlight w:val="none"/>
        </w:rPr>
        <w:t>（六）发现对方严重违反本合同义务条款的行为，有向其上级有关部门举报、建议给予处理并要求告知处理结果的权利。</w:t>
      </w:r>
      <w:r>
        <w:rPr>
          <w:rFonts w:hint="eastAsia" w:ascii="宋体" w:hAnsi="宋体"/>
          <w:highlight w:val="none"/>
        </w:rPr>
        <w:t>影响合同履行的，可按照合同中关于合同解除的约定处理。</w:t>
      </w:r>
    </w:p>
    <w:p w14:paraId="7DB73CFD">
      <w:pPr>
        <w:adjustRightInd w:val="0"/>
        <w:snapToGrid w:val="0"/>
        <w:spacing w:line="324" w:lineRule="auto"/>
        <w:ind w:firstLine="422" w:firstLineChars="200"/>
        <w:jc w:val="left"/>
        <w:rPr>
          <w:rFonts w:ascii="宋体" w:hAnsi="宋体"/>
          <w:highlight w:val="none"/>
        </w:rPr>
      </w:pPr>
      <w:r>
        <w:rPr>
          <w:rFonts w:ascii="宋体" w:hAnsi="宋体"/>
          <w:b/>
          <w:highlight w:val="none"/>
        </w:rPr>
        <w:t>第二条</w:t>
      </w:r>
      <w:r>
        <w:rPr>
          <w:rFonts w:ascii="宋体" w:hAnsi="宋体"/>
          <w:highlight w:val="none"/>
        </w:rPr>
        <w:t>发包人的义务</w:t>
      </w:r>
    </w:p>
    <w:p w14:paraId="1D6B9BF4">
      <w:pPr>
        <w:adjustRightInd w:val="0"/>
        <w:snapToGrid w:val="0"/>
        <w:spacing w:line="324" w:lineRule="auto"/>
        <w:ind w:firstLine="420" w:firstLineChars="200"/>
        <w:jc w:val="left"/>
        <w:rPr>
          <w:rFonts w:ascii="宋体" w:hAnsi="宋体"/>
          <w:highlight w:val="none"/>
        </w:rPr>
      </w:pPr>
      <w:r>
        <w:rPr>
          <w:rFonts w:ascii="宋体" w:hAnsi="宋体"/>
          <w:highlight w:val="none"/>
        </w:rPr>
        <w:t>（一）发包人作为工程项目的建设单位，认真履行合同规定的发包人责任</w:t>
      </w:r>
      <w:r>
        <w:rPr>
          <w:rFonts w:hint="eastAsia" w:ascii="宋体" w:hAnsi="宋体"/>
          <w:highlight w:val="none"/>
        </w:rPr>
        <w:t>。</w:t>
      </w:r>
    </w:p>
    <w:p w14:paraId="0A41061F">
      <w:pPr>
        <w:adjustRightInd w:val="0"/>
        <w:snapToGrid w:val="0"/>
        <w:spacing w:line="324" w:lineRule="auto"/>
        <w:ind w:firstLine="420" w:firstLineChars="200"/>
        <w:jc w:val="left"/>
        <w:rPr>
          <w:rFonts w:ascii="宋体" w:hAnsi="宋体"/>
          <w:highlight w:val="none"/>
        </w:rPr>
      </w:pPr>
      <w:r>
        <w:rPr>
          <w:rFonts w:ascii="宋体" w:hAnsi="宋体"/>
          <w:highlight w:val="none"/>
        </w:rPr>
        <w:t>（二）发包人及其工作人员不得索要或接受承包人的礼金、有价证券和物品，不得在承包人报销任何应由发包人或个人支付的费用等。</w:t>
      </w:r>
    </w:p>
    <w:p w14:paraId="36DFE42A">
      <w:pPr>
        <w:adjustRightInd w:val="0"/>
        <w:snapToGrid w:val="0"/>
        <w:spacing w:line="324" w:lineRule="auto"/>
        <w:ind w:firstLine="420" w:firstLineChars="200"/>
        <w:jc w:val="left"/>
        <w:rPr>
          <w:rFonts w:ascii="宋体" w:hAnsi="宋体"/>
          <w:highlight w:val="none"/>
        </w:rPr>
      </w:pPr>
      <w:r>
        <w:rPr>
          <w:rFonts w:ascii="宋体" w:hAnsi="宋体"/>
          <w:highlight w:val="none"/>
        </w:rPr>
        <w:t>（三）发包人工作人员不得参加承包人安排的宴请和娱乐活动；不得接受承包人提供的通讯工具、交通工具和办公用品等。</w:t>
      </w:r>
    </w:p>
    <w:p w14:paraId="0CB0F4A1">
      <w:pPr>
        <w:adjustRightInd w:val="0"/>
        <w:snapToGrid w:val="0"/>
        <w:spacing w:line="324" w:lineRule="auto"/>
        <w:ind w:firstLine="420" w:firstLineChars="200"/>
        <w:jc w:val="left"/>
        <w:rPr>
          <w:rFonts w:ascii="宋体" w:hAnsi="宋体"/>
          <w:highlight w:val="none"/>
        </w:rPr>
      </w:pPr>
      <w:r>
        <w:rPr>
          <w:rFonts w:ascii="宋体" w:hAnsi="宋体"/>
          <w:highlight w:val="none"/>
        </w:rPr>
        <w:t>（四）发包人及其工作人员不得要求或者接受承包人为其住房装修、婚丧嫁娶活动、配偶子女的工作安排以及出国出境、旅游等提供方便等。</w:t>
      </w:r>
    </w:p>
    <w:p w14:paraId="5EFA22F7">
      <w:pPr>
        <w:adjustRightInd w:val="0"/>
        <w:snapToGrid w:val="0"/>
        <w:spacing w:line="324" w:lineRule="auto"/>
        <w:ind w:firstLine="420" w:firstLineChars="200"/>
        <w:jc w:val="left"/>
        <w:rPr>
          <w:rFonts w:ascii="宋体" w:hAnsi="宋体"/>
          <w:highlight w:val="none"/>
        </w:rPr>
      </w:pPr>
      <w:r>
        <w:rPr>
          <w:rFonts w:ascii="宋体" w:hAnsi="宋体"/>
          <w:highlight w:val="none"/>
        </w:rPr>
        <w:t>（</w:t>
      </w:r>
      <w:r>
        <w:rPr>
          <w:rFonts w:hint="eastAsia" w:ascii="宋体" w:hAnsi="宋体"/>
          <w:highlight w:val="none"/>
        </w:rPr>
        <w:t>五</w:t>
      </w:r>
      <w:r>
        <w:rPr>
          <w:rFonts w:ascii="宋体" w:hAnsi="宋体"/>
          <w:highlight w:val="none"/>
        </w:rPr>
        <w:t>）发包人工作人员的配偶、子女不得从事与发包人工程有关的分包项目。</w:t>
      </w:r>
    </w:p>
    <w:p w14:paraId="71E0731F">
      <w:pPr>
        <w:adjustRightInd w:val="0"/>
        <w:snapToGrid w:val="0"/>
        <w:spacing w:line="324" w:lineRule="auto"/>
        <w:ind w:firstLine="422" w:firstLineChars="200"/>
        <w:jc w:val="left"/>
        <w:rPr>
          <w:rFonts w:ascii="宋体" w:hAnsi="宋体"/>
          <w:highlight w:val="none"/>
        </w:rPr>
      </w:pPr>
      <w:r>
        <w:rPr>
          <w:rFonts w:ascii="宋体" w:hAnsi="宋体"/>
          <w:b/>
          <w:highlight w:val="none"/>
        </w:rPr>
        <w:t>第三条</w:t>
      </w:r>
      <w:r>
        <w:rPr>
          <w:rFonts w:ascii="宋体" w:hAnsi="宋体"/>
          <w:highlight w:val="none"/>
        </w:rPr>
        <w:t>承包人</w:t>
      </w:r>
      <w:r>
        <w:rPr>
          <w:rFonts w:hint="eastAsia" w:ascii="宋体" w:hAnsi="宋体"/>
          <w:highlight w:val="none"/>
        </w:rPr>
        <w:t>的</w:t>
      </w:r>
      <w:r>
        <w:rPr>
          <w:rFonts w:ascii="宋体" w:hAnsi="宋体"/>
          <w:highlight w:val="none"/>
        </w:rPr>
        <w:t>义务</w:t>
      </w:r>
    </w:p>
    <w:p w14:paraId="7D5D8389">
      <w:pPr>
        <w:adjustRightInd w:val="0"/>
        <w:snapToGrid w:val="0"/>
        <w:spacing w:line="324" w:lineRule="auto"/>
        <w:ind w:firstLine="420" w:firstLineChars="200"/>
        <w:jc w:val="left"/>
        <w:rPr>
          <w:rFonts w:ascii="宋体" w:hAnsi="宋体"/>
          <w:highlight w:val="none"/>
        </w:rPr>
      </w:pPr>
      <w:r>
        <w:rPr>
          <w:rFonts w:ascii="宋体" w:hAnsi="宋体"/>
          <w:highlight w:val="none"/>
        </w:rPr>
        <w:t>（一）承包人不得以任何理由向发包人及其工作人员行贿或馈赠礼金、有价证券、礼品。</w:t>
      </w:r>
    </w:p>
    <w:p w14:paraId="7E11731B">
      <w:pPr>
        <w:adjustRightInd w:val="0"/>
        <w:snapToGrid w:val="0"/>
        <w:spacing w:line="324" w:lineRule="auto"/>
        <w:ind w:firstLine="420" w:firstLineChars="200"/>
        <w:jc w:val="left"/>
        <w:rPr>
          <w:rFonts w:ascii="宋体" w:hAnsi="宋体"/>
          <w:highlight w:val="none"/>
        </w:rPr>
      </w:pPr>
      <w:r>
        <w:rPr>
          <w:rFonts w:ascii="宋体" w:hAnsi="宋体"/>
          <w:highlight w:val="none"/>
        </w:rPr>
        <w:t>（二）承包人不得以任何名义为发包人及其工作人员报销应由发包人或个人支付的任何费用。</w:t>
      </w:r>
    </w:p>
    <w:p w14:paraId="64C7ABFB">
      <w:pPr>
        <w:adjustRightInd w:val="0"/>
        <w:snapToGrid w:val="0"/>
        <w:spacing w:line="324" w:lineRule="auto"/>
        <w:ind w:firstLine="420" w:firstLineChars="200"/>
        <w:jc w:val="left"/>
        <w:rPr>
          <w:rFonts w:ascii="宋体" w:hAnsi="宋体"/>
          <w:highlight w:val="none"/>
        </w:rPr>
      </w:pPr>
      <w:r>
        <w:rPr>
          <w:rFonts w:ascii="宋体" w:hAnsi="宋体"/>
          <w:highlight w:val="none"/>
        </w:rPr>
        <w:t>（三）承包人不得以任何理由安排发包人工作人员参加宴请及娱乐活动。</w:t>
      </w:r>
    </w:p>
    <w:p w14:paraId="79440BAD">
      <w:pPr>
        <w:adjustRightInd w:val="0"/>
        <w:snapToGrid w:val="0"/>
        <w:spacing w:line="324" w:lineRule="auto"/>
        <w:ind w:firstLine="420" w:firstLineChars="200"/>
        <w:jc w:val="left"/>
        <w:rPr>
          <w:rFonts w:ascii="宋体" w:hAnsi="宋体"/>
          <w:highlight w:val="none"/>
        </w:rPr>
      </w:pPr>
      <w:r>
        <w:rPr>
          <w:rFonts w:ascii="宋体" w:hAnsi="宋体"/>
          <w:highlight w:val="none"/>
        </w:rPr>
        <w:t>（四）承包人不得为发包人单位和个人购置或提供通讯工具、交通工具和办公用品等。</w:t>
      </w:r>
    </w:p>
    <w:p w14:paraId="60F2E1FE">
      <w:pPr>
        <w:adjustRightInd w:val="0"/>
        <w:snapToGrid w:val="0"/>
        <w:spacing w:line="324" w:lineRule="auto"/>
        <w:ind w:firstLine="420" w:firstLineChars="200"/>
        <w:jc w:val="left"/>
        <w:rPr>
          <w:rFonts w:ascii="宋体" w:hAnsi="宋体"/>
          <w:highlight w:val="none"/>
        </w:rPr>
      </w:pPr>
      <w:r>
        <w:rPr>
          <w:rFonts w:ascii="宋体" w:hAnsi="宋体"/>
          <w:highlight w:val="none"/>
        </w:rPr>
        <w:t>（五）承包人及其工作人员不得索取或接受</w:t>
      </w:r>
      <w:r>
        <w:rPr>
          <w:rFonts w:hint="eastAsia" w:ascii="宋体" w:hAnsi="宋体"/>
          <w:highlight w:val="none"/>
        </w:rPr>
        <w:t>工作关系</w:t>
      </w:r>
      <w:r>
        <w:rPr>
          <w:rFonts w:ascii="宋体" w:hAnsi="宋体"/>
          <w:highlight w:val="none"/>
        </w:rPr>
        <w:t>单位的礼金、有价证券和物品，不得在</w:t>
      </w:r>
      <w:r>
        <w:rPr>
          <w:rFonts w:hint="eastAsia" w:ascii="宋体" w:hAnsi="宋体"/>
          <w:highlight w:val="none"/>
        </w:rPr>
        <w:t>工作关系</w:t>
      </w:r>
      <w:r>
        <w:rPr>
          <w:rFonts w:ascii="宋体" w:hAnsi="宋体"/>
          <w:highlight w:val="none"/>
        </w:rPr>
        <w:t>单位报销任何应由承包人或个人支付的费用。</w:t>
      </w:r>
    </w:p>
    <w:p w14:paraId="2147668A">
      <w:pPr>
        <w:adjustRightInd w:val="0"/>
        <w:snapToGrid w:val="0"/>
        <w:spacing w:line="324" w:lineRule="auto"/>
        <w:ind w:firstLine="420" w:firstLineChars="200"/>
        <w:jc w:val="left"/>
        <w:rPr>
          <w:rFonts w:ascii="宋体" w:hAnsi="宋体"/>
          <w:highlight w:val="none"/>
        </w:rPr>
      </w:pPr>
      <w:r>
        <w:rPr>
          <w:rFonts w:ascii="宋体" w:hAnsi="宋体"/>
          <w:highlight w:val="none"/>
        </w:rPr>
        <w:t>（六）承包人及其工作人员必须严格按照</w:t>
      </w:r>
      <w:r>
        <w:rPr>
          <w:rFonts w:hint="eastAsia" w:ascii="宋体" w:hAnsi="宋体"/>
          <w:highlight w:val="none"/>
        </w:rPr>
        <w:t>工作</w:t>
      </w:r>
      <w:r>
        <w:rPr>
          <w:rFonts w:ascii="宋体" w:hAnsi="宋体"/>
          <w:highlight w:val="none"/>
        </w:rPr>
        <w:t>规程办事，不得损害发包人利益。</w:t>
      </w:r>
    </w:p>
    <w:p w14:paraId="3A3AB9BE">
      <w:pPr>
        <w:adjustRightInd w:val="0"/>
        <w:snapToGrid w:val="0"/>
        <w:spacing w:line="324" w:lineRule="auto"/>
        <w:ind w:firstLine="422" w:firstLineChars="200"/>
        <w:jc w:val="left"/>
        <w:rPr>
          <w:rFonts w:ascii="宋体" w:hAnsi="宋体"/>
          <w:highlight w:val="none"/>
        </w:rPr>
      </w:pPr>
      <w:r>
        <w:rPr>
          <w:rFonts w:ascii="宋体" w:hAnsi="宋体"/>
          <w:b/>
          <w:highlight w:val="none"/>
        </w:rPr>
        <w:t>第四条</w:t>
      </w:r>
      <w:r>
        <w:rPr>
          <w:rFonts w:ascii="宋体" w:hAnsi="宋体"/>
          <w:highlight w:val="none"/>
        </w:rPr>
        <w:t>违约责任</w:t>
      </w:r>
    </w:p>
    <w:p w14:paraId="5ACD4A3E">
      <w:pPr>
        <w:adjustRightInd w:val="0"/>
        <w:snapToGrid w:val="0"/>
        <w:spacing w:line="324" w:lineRule="auto"/>
        <w:ind w:firstLine="420" w:firstLineChars="200"/>
        <w:jc w:val="left"/>
        <w:rPr>
          <w:rFonts w:ascii="宋体" w:hAnsi="宋体"/>
          <w:highlight w:val="none"/>
        </w:rPr>
      </w:pPr>
      <w:r>
        <w:rPr>
          <w:rFonts w:ascii="宋体" w:hAnsi="宋体"/>
          <w:highlight w:val="none"/>
        </w:rPr>
        <w:t>（一）发包人及其工作人员违反本合同第一、二条；按管理权限，依据有关规定给予党纪、政纪或组织处理；涉嫌犯罪的，移交司法机关追究刑事责任；给承包人单位造成经济损失的，应予以赔偿。</w:t>
      </w:r>
    </w:p>
    <w:p w14:paraId="4974354F">
      <w:pPr>
        <w:adjustRightInd w:val="0"/>
        <w:snapToGrid w:val="0"/>
        <w:spacing w:line="324" w:lineRule="auto"/>
        <w:ind w:firstLine="420" w:firstLineChars="200"/>
        <w:jc w:val="left"/>
        <w:rPr>
          <w:rFonts w:ascii="宋体" w:hAnsi="宋体"/>
          <w:highlight w:val="none"/>
        </w:rPr>
      </w:pPr>
      <w:r>
        <w:rPr>
          <w:rFonts w:ascii="宋体" w:hAnsi="宋体"/>
          <w:highlight w:val="none"/>
        </w:rPr>
        <w:t>（二）承包人及其工作人员违反本合同第一、三条，按管理权限依据有关规定，给予党纪、政纪或组织处理；给发包人单位造成经济损失的，应予以赔偿</w:t>
      </w:r>
      <w:r>
        <w:rPr>
          <w:rFonts w:hint="eastAsia" w:ascii="宋体" w:hAnsi="宋体"/>
          <w:highlight w:val="none"/>
        </w:rPr>
        <w:t>，并按照违纪违法认定金额的双倍承担违约金。合同款项未完全支付的，违约金在支付时予以扣减；合同款已支付承包人或未支付款不足以支付违约金的，承包人另行支付违约金。</w:t>
      </w:r>
      <w:r>
        <w:rPr>
          <w:rFonts w:ascii="宋体" w:hAnsi="宋体"/>
          <w:highlight w:val="none"/>
        </w:rPr>
        <w:t>情节严重的，发包人建议交通工程建设主管部门给予承包人一至三年内不得进入其主管的交通工程建设市场的处罚。</w:t>
      </w:r>
    </w:p>
    <w:p w14:paraId="3A949D45">
      <w:pPr>
        <w:adjustRightInd w:val="0"/>
        <w:snapToGrid w:val="0"/>
        <w:spacing w:line="324" w:lineRule="auto"/>
        <w:ind w:firstLine="422" w:firstLineChars="200"/>
        <w:jc w:val="left"/>
        <w:rPr>
          <w:rFonts w:ascii="宋体" w:hAnsi="宋体"/>
          <w:highlight w:val="none"/>
        </w:rPr>
      </w:pPr>
      <w:r>
        <w:rPr>
          <w:rFonts w:ascii="宋体" w:hAnsi="宋体"/>
          <w:b/>
          <w:highlight w:val="none"/>
        </w:rPr>
        <w:t>第五条</w:t>
      </w:r>
      <w:r>
        <w:rPr>
          <w:rFonts w:ascii="宋体" w:hAnsi="宋体"/>
          <w:highlight w:val="none"/>
        </w:rPr>
        <w:t>本合同有效期为甲乙双方签署之日起至该工程项目竣工验收后止。</w:t>
      </w:r>
    </w:p>
    <w:p w14:paraId="2E2239BF">
      <w:pPr>
        <w:adjustRightInd w:val="0"/>
        <w:snapToGrid w:val="0"/>
        <w:spacing w:line="324" w:lineRule="auto"/>
        <w:ind w:firstLine="422" w:firstLineChars="200"/>
        <w:jc w:val="left"/>
        <w:rPr>
          <w:rFonts w:ascii="宋体" w:hAnsi="宋体"/>
          <w:highlight w:val="none"/>
        </w:rPr>
      </w:pPr>
      <w:r>
        <w:rPr>
          <w:rFonts w:ascii="宋体" w:hAnsi="宋体"/>
          <w:b/>
          <w:highlight w:val="none"/>
        </w:rPr>
        <w:t>第六条</w:t>
      </w:r>
      <w:r>
        <w:rPr>
          <w:rFonts w:ascii="宋体" w:hAnsi="宋体"/>
          <w:highlight w:val="none"/>
        </w:rPr>
        <w:t>本合同作为工程合同的附件，与工程合同具有同等的法律效力，经合同双方签署后立即生效。</w:t>
      </w:r>
    </w:p>
    <w:p w14:paraId="0CC7520D">
      <w:pPr>
        <w:adjustRightInd w:val="0"/>
        <w:snapToGrid w:val="0"/>
        <w:spacing w:line="324" w:lineRule="auto"/>
        <w:ind w:firstLine="422" w:firstLineChars="200"/>
        <w:jc w:val="left"/>
        <w:rPr>
          <w:rFonts w:ascii="宋体" w:hAnsi="宋体"/>
          <w:highlight w:val="none"/>
        </w:rPr>
      </w:pPr>
      <w:r>
        <w:rPr>
          <w:rFonts w:ascii="宋体" w:hAnsi="宋体"/>
          <w:b/>
          <w:highlight w:val="none"/>
        </w:rPr>
        <w:t>第七条</w:t>
      </w:r>
      <w:r>
        <w:rPr>
          <w:rFonts w:ascii="宋体" w:hAnsi="宋体"/>
          <w:highlight w:val="none"/>
        </w:rPr>
        <w:t>本合同</w:t>
      </w:r>
      <w:r>
        <w:rPr>
          <w:rFonts w:hint="eastAsia" w:ascii="宋体" w:hAnsi="宋体"/>
          <w:highlight w:val="none"/>
        </w:rPr>
        <w:t>一式陆份，</w:t>
      </w:r>
      <w:r>
        <w:rPr>
          <w:rFonts w:ascii="宋体" w:hAnsi="宋体"/>
          <w:highlight w:val="none"/>
        </w:rPr>
        <w:t>甲、乙双方各执</w:t>
      </w:r>
      <w:r>
        <w:rPr>
          <w:rFonts w:hint="eastAsia" w:ascii="宋体" w:hAnsi="宋体"/>
          <w:highlight w:val="none"/>
        </w:rPr>
        <w:t>叁</w:t>
      </w:r>
      <w:r>
        <w:rPr>
          <w:rFonts w:ascii="宋体" w:hAnsi="宋体"/>
          <w:highlight w:val="none"/>
        </w:rPr>
        <w:t>份。</w:t>
      </w:r>
    </w:p>
    <w:p w14:paraId="1B8AB9DA">
      <w:pPr>
        <w:adjustRightInd w:val="0"/>
        <w:snapToGrid w:val="0"/>
        <w:spacing w:line="324" w:lineRule="auto"/>
        <w:ind w:firstLine="420" w:firstLineChars="200"/>
        <w:jc w:val="left"/>
        <w:rPr>
          <w:rFonts w:ascii="仿宋" w:hAnsi="仿宋" w:eastAsia="仿宋"/>
          <w:highlight w:val="none"/>
        </w:rPr>
      </w:pPr>
    </w:p>
    <w:p w14:paraId="1F02C958">
      <w:pPr>
        <w:spacing w:line="360" w:lineRule="auto"/>
        <w:rPr>
          <w:rFonts w:cs="仿宋"/>
          <w:highlight w:val="none"/>
        </w:rPr>
      </w:pPr>
      <w:r>
        <w:rPr>
          <w:rFonts w:cs="仿宋"/>
          <w:highlight w:val="none"/>
        </w:rPr>
        <w:t>发包人：（盖单位章）</w:t>
      </w:r>
      <w:r>
        <w:rPr>
          <w:rFonts w:hint="eastAsia" w:cs="仿宋"/>
          <w:highlight w:val="none"/>
        </w:rPr>
        <w:t xml:space="preserve">                  </w:t>
      </w:r>
      <w:r>
        <w:rPr>
          <w:rFonts w:cs="仿宋"/>
          <w:highlight w:val="none"/>
        </w:rPr>
        <w:t>承包人：（盖单位章）</w:t>
      </w:r>
    </w:p>
    <w:p w14:paraId="2CEA33B8">
      <w:pPr>
        <w:spacing w:line="360" w:lineRule="auto"/>
        <w:rPr>
          <w:rFonts w:cs="仿宋"/>
          <w:highlight w:val="none"/>
        </w:rPr>
      </w:pPr>
      <w:r>
        <w:rPr>
          <w:rFonts w:cs="仿宋"/>
          <w:highlight w:val="none"/>
        </w:rPr>
        <w:t>法定代表人</w:t>
      </w:r>
      <w:r>
        <w:rPr>
          <w:rFonts w:hint="eastAsia" w:cs="仿宋"/>
          <w:highlight w:val="none"/>
        </w:rPr>
        <w:t xml:space="preserve">                            </w:t>
      </w:r>
      <w:r>
        <w:rPr>
          <w:rFonts w:cs="仿宋"/>
          <w:highlight w:val="none"/>
        </w:rPr>
        <w:t>法定代表人</w:t>
      </w:r>
    </w:p>
    <w:p w14:paraId="5A96E8D4">
      <w:pPr>
        <w:spacing w:line="360" w:lineRule="auto"/>
        <w:rPr>
          <w:rFonts w:cs="仿宋"/>
          <w:highlight w:val="none"/>
        </w:rPr>
      </w:pPr>
      <w:r>
        <w:rPr>
          <w:rFonts w:cs="仿宋"/>
          <w:highlight w:val="none"/>
        </w:rPr>
        <w:t>或其委托代理人：（签字）</w:t>
      </w:r>
      <w:r>
        <w:rPr>
          <w:rFonts w:hint="eastAsia" w:cs="仿宋"/>
          <w:highlight w:val="none"/>
        </w:rPr>
        <w:t xml:space="preserve">              </w:t>
      </w:r>
      <w:r>
        <w:rPr>
          <w:rFonts w:cs="仿宋"/>
          <w:highlight w:val="none"/>
        </w:rPr>
        <w:t>或其委托代理人：（签字）</w:t>
      </w:r>
    </w:p>
    <w:p w14:paraId="17C4660E">
      <w:pPr>
        <w:spacing w:line="360" w:lineRule="auto"/>
        <w:ind w:firstLine="2100" w:firstLineChars="1000"/>
        <w:rPr>
          <w:rFonts w:cs="仿宋"/>
          <w:highlight w:val="none"/>
        </w:rPr>
      </w:pPr>
      <w:r>
        <w:rPr>
          <w:rFonts w:cs="仿宋"/>
          <w:highlight w:val="none"/>
        </w:rPr>
        <w:t>年</w:t>
      </w:r>
      <w:r>
        <w:rPr>
          <w:rFonts w:hint="eastAsia" w:cs="仿宋"/>
          <w:highlight w:val="none"/>
        </w:rPr>
        <w:t xml:space="preserve">  </w:t>
      </w:r>
      <w:r>
        <w:rPr>
          <w:rFonts w:cs="仿宋"/>
          <w:highlight w:val="none"/>
        </w:rPr>
        <w:t>月</w:t>
      </w:r>
      <w:r>
        <w:rPr>
          <w:rFonts w:hint="eastAsia" w:cs="仿宋"/>
          <w:highlight w:val="none"/>
        </w:rPr>
        <w:t xml:space="preserve">  </w:t>
      </w:r>
      <w:r>
        <w:rPr>
          <w:rFonts w:cs="仿宋"/>
          <w:highlight w:val="none"/>
        </w:rPr>
        <w:t>日</w:t>
      </w:r>
      <w:r>
        <w:rPr>
          <w:rFonts w:hint="eastAsia" w:cs="仿宋"/>
          <w:highlight w:val="none"/>
        </w:rPr>
        <w:t xml:space="preserve">                             </w:t>
      </w:r>
      <w:r>
        <w:rPr>
          <w:rFonts w:cs="仿宋"/>
          <w:highlight w:val="none"/>
        </w:rPr>
        <w:t>年</w:t>
      </w:r>
      <w:r>
        <w:rPr>
          <w:rFonts w:hint="eastAsia" w:cs="仿宋"/>
          <w:highlight w:val="none"/>
        </w:rPr>
        <w:t xml:space="preserve">  </w:t>
      </w:r>
      <w:r>
        <w:rPr>
          <w:rFonts w:cs="仿宋"/>
          <w:highlight w:val="none"/>
        </w:rPr>
        <w:t>月</w:t>
      </w:r>
      <w:r>
        <w:rPr>
          <w:rFonts w:hint="eastAsia" w:cs="仿宋"/>
          <w:highlight w:val="none"/>
        </w:rPr>
        <w:t xml:space="preserve">  </w:t>
      </w:r>
      <w:r>
        <w:rPr>
          <w:rFonts w:cs="仿宋"/>
          <w:highlight w:val="none"/>
        </w:rPr>
        <w:t>日</w:t>
      </w:r>
    </w:p>
    <w:p w14:paraId="633BB2D9">
      <w:pPr>
        <w:rPr>
          <w:rFonts w:ascii="宋体" w:hAnsi="宋体"/>
          <w:b/>
          <w:highlight w:val="none"/>
        </w:rPr>
      </w:pPr>
      <w:r>
        <w:rPr>
          <w:rFonts w:hint="eastAsia" w:ascii="宋体" w:hAnsi="宋体"/>
          <w:b/>
          <w:highlight w:val="none"/>
        </w:rPr>
        <w:br w:type="page"/>
      </w:r>
    </w:p>
    <w:p w14:paraId="05BB87DE">
      <w:pPr>
        <w:rPr>
          <w:rFonts w:ascii="宋体" w:hAnsi="宋体"/>
          <w:b/>
          <w:sz w:val="22"/>
          <w:szCs w:val="22"/>
          <w:highlight w:val="none"/>
        </w:rPr>
      </w:pPr>
      <w:r>
        <w:rPr>
          <w:rFonts w:hint="eastAsia" w:ascii="宋体" w:hAnsi="宋体"/>
          <w:b/>
          <w:sz w:val="22"/>
          <w:szCs w:val="22"/>
          <w:highlight w:val="none"/>
        </w:rPr>
        <w:t>附件4安全生产合同</w:t>
      </w:r>
    </w:p>
    <w:p w14:paraId="5B36B141">
      <w:pPr>
        <w:spacing w:line="360" w:lineRule="auto"/>
        <w:jc w:val="center"/>
        <w:rPr>
          <w:rFonts w:ascii="宋体" w:hAnsi="宋体"/>
          <w:b/>
          <w:sz w:val="22"/>
          <w:szCs w:val="22"/>
          <w:highlight w:val="none"/>
        </w:rPr>
      </w:pPr>
      <w:r>
        <w:rPr>
          <w:rFonts w:hint="eastAsia" w:ascii="宋体" w:hAnsi="宋体"/>
          <w:b/>
          <w:sz w:val="22"/>
          <w:szCs w:val="22"/>
          <w:highlight w:val="none"/>
        </w:rPr>
        <w:t>安全生产合同</w:t>
      </w:r>
    </w:p>
    <w:p w14:paraId="6204FE62">
      <w:pPr>
        <w:spacing w:line="360" w:lineRule="auto"/>
        <w:ind w:firstLine="420" w:firstLineChars="200"/>
        <w:rPr>
          <w:rFonts w:ascii="宋体"/>
          <w:highlight w:val="none"/>
        </w:rPr>
      </w:pPr>
      <w:r>
        <w:rPr>
          <w:rFonts w:hint="eastAsia" w:ascii="宋体" w:hAnsi="宋体"/>
          <w:highlight w:val="none"/>
        </w:rPr>
        <w:t>为在</w:t>
      </w:r>
      <w:r>
        <w:rPr>
          <w:rFonts w:hint="eastAsia" w:ascii="宋体" w:hAnsi="宋体"/>
          <w:highlight w:val="none"/>
          <w:u w:val="single"/>
        </w:rPr>
        <w:t>（项目名称）</w:t>
      </w:r>
      <w:r>
        <w:rPr>
          <w:rFonts w:hint="eastAsia" w:ascii="宋体" w:hAnsi="宋体"/>
          <w:highlight w:val="none"/>
        </w:rPr>
        <w:t>标段合同的实施过程中创造安全、高效的施工环境，切实搞好本项目的安全管理工作，确保不发生伤亡事故及双方的利益不受损害。依照</w:t>
      </w:r>
      <w:r>
        <w:rPr>
          <w:rFonts w:hint="eastAsia"/>
          <w:highlight w:val="none"/>
        </w:rPr>
        <w:t>《中华人民共和国安全生产法》、《建设工程安全生产管理条例》、《江苏省安全生产条例》、《公路水运工程安全生产监督管理办法》、《江苏省公路水运建设工程安全监管规定》</w:t>
      </w:r>
      <w:r>
        <w:rPr>
          <w:rFonts w:hint="eastAsia" w:ascii="宋体" w:hAnsi="宋体"/>
          <w:highlight w:val="none"/>
        </w:rPr>
        <w:t>等的有关规定，本项目发包人</w:t>
      </w:r>
      <w:r>
        <w:rPr>
          <w:rFonts w:hint="eastAsia"/>
          <w:highlight w:val="none"/>
          <w:u w:val="single"/>
        </w:rPr>
        <w:t>南通市港航事业发展中心</w:t>
      </w:r>
      <w:r>
        <w:rPr>
          <w:rFonts w:hint="eastAsia" w:ascii="宋体" w:hAnsi="宋体"/>
          <w:highlight w:val="none"/>
        </w:rPr>
        <w:t>（发包人名称，以下简称“发包人”）与承包人</w:t>
      </w:r>
      <w:r>
        <w:rPr>
          <w:rFonts w:hint="eastAsia" w:cs="仿宋"/>
          <w:highlight w:val="none"/>
          <w:u w:val="single"/>
          <w:lang w:val="en-US" w:eastAsia="zh-CN"/>
        </w:rPr>
        <w:t xml:space="preserve">      </w:t>
      </w:r>
      <w:r>
        <w:rPr>
          <w:rFonts w:hint="eastAsia" w:ascii="宋体" w:hAnsi="宋体"/>
          <w:highlight w:val="none"/>
        </w:rPr>
        <w:t>（承包人名称，以下简称“承包人”）特此签订安全生产合同：</w:t>
      </w:r>
    </w:p>
    <w:p w14:paraId="3F824151">
      <w:pPr>
        <w:spacing w:line="360" w:lineRule="auto"/>
        <w:ind w:firstLine="420" w:firstLineChars="200"/>
        <w:rPr>
          <w:rFonts w:ascii="宋体"/>
          <w:highlight w:val="none"/>
        </w:rPr>
      </w:pPr>
      <w:r>
        <w:rPr>
          <w:rFonts w:ascii="宋体" w:hAnsi="宋体"/>
          <w:highlight w:val="none"/>
        </w:rPr>
        <w:t>1</w:t>
      </w:r>
      <w:r>
        <w:rPr>
          <w:rFonts w:hint="eastAsia" w:ascii="宋体" w:hAnsi="宋体"/>
          <w:highlight w:val="none"/>
        </w:rPr>
        <w:t>、发包人职责</w:t>
      </w:r>
    </w:p>
    <w:p w14:paraId="4ED43A93">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1</w:t>
      </w:r>
      <w:r>
        <w:rPr>
          <w:rFonts w:hint="eastAsia" w:ascii="宋体" w:hAnsi="宋体"/>
          <w:highlight w:val="none"/>
        </w:rPr>
        <w:t>）严格遵守国家有关安全生产的法律法规，认真执行工程承包合同中的有关安全要求。严格贯彻执行国家、省有关行业部门的条例，掌握安全动态。对上级相关安全工作的批示、命令和规定等及时向承包人传达，并对落实情况进行监督检查。</w:t>
      </w:r>
    </w:p>
    <w:p w14:paraId="677D2843">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2</w:t>
      </w:r>
      <w:r>
        <w:rPr>
          <w:rFonts w:hint="eastAsia" w:ascii="宋体" w:hAnsi="宋体"/>
          <w:highlight w:val="none"/>
        </w:rPr>
        <w:t>）按照“安全第一、预防为主、综合治理”的方针和坚持“管生产必须管安全”的原则进行安全生产管理，做到生产与安全工作同时计划、布置、检查、总结和评比。</w:t>
      </w:r>
    </w:p>
    <w:p w14:paraId="67FF3CC7">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3</w:t>
      </w:r>
      <w:r>
        <w:rPr>
          <w:rFonts w:hint="eastAsia" w:ascii="宋体" w:hAnsi="宋体"/>
          <w:highlight w:val="none"/>
        </w:rPr>
        <w:t>）重要的安全设施必须坚持与主体工程“三同时”的原则，即：同时设计、审批，同时施工，同时验收，投入使用。</w:t>
      </w:r>
    </w:p>
    <w:p w14:paraId="63070E3E">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4</w:t>
      </w:r>
      <w:r>
        <w:rPr>
          <w:rFonts w:hint="eastAsia" w:ascii="宋体" w:hAnsi="宋体"/>
          <w:highlight w:val="none"/>
        </w:rPr>
        <w:t>）定期召开安全生产调度会，及时传达中央及地方有关安全生产的精神。</w:t>
      </w:r>
    </w:p>
    <w:p w14:paraId="63813488">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5</w:t>
      </w:r>
      <w:r>
        <w:rPr>
          <w:rFonts w:hint="eastAsia" w:ascii="宋体" w:hAnsi="宋体"/>
          <w:highlight w:val="none"/>
        </w:rPr>
        <w:t>）组织对承包人施工现场进行安全生产检查，监督承包人及时处理发现的各种安全隐患。</w:t>
      </w:r>
    </w:p>
    <w:p w14:paraId="13A62DC7">
      <w:pPr>
        <w:spacing w:line="360" w:lineRule="auto"/>
        <w:ind w:firstLine="420" w:firstLineChars="200"/>
        <w:jc w:val="left"/>
        <w:rPr>
          <w:rFonts w:ascii="宋体"/>
          <w:highlight w:val="none"/>
        </w:rPr>
      </w:pPr>
      <w:r>
        <w:rPr>
          <w:rFonts w:ascii="宋体" w:hAnsi="宋体"/>
          <w:highlight w:val="none"/>
        </w:rPr>
        <w:t>2</w:t>
      </w:r>
      <w:r>
        <w:rPr>
          <w:rFonts w:hint="eastAsia" w:ascii="宋体" w:hAnsi="宋体"/>
          <w:highlight w:val="none"/>
        </w:rPr>
        <w:t>、承包人职责</w:t>
      </w:r>
    </w:p>
    <w:p w14:paraId="3DDEB47B">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1</w:t>
      </w:r>
      <w:r>
        <w:rPr>
          <w:rFonts w:hint="eastAsia" w:ascii="宋体" w:hAnsi="宋体"/>
          <w:highlight w:val="none"/>
        </w:rPr>
        <w:t>）严格遵守《中华人民共和国安全生产法》、《建设工程安全生产管理条例》</w:t>
      </w:r>
      <w:r>
        <w:rPr>
          <w:rFonts w:hint="eastAsia"/>
          <w:highlight w:val="none"/>
        </w:rPr>
        <w:t>、《江苏省安全生产条例》</w:t>
      </w:r>
      <w:r>
        <w:rPr>
          <w:rFonts w:hint="eastAsia" w:ascii="宋体" w:hAnsi="宋体"/>
          <w:highlight w:val="none"/>
        </w:rPr>
        <w:t>等国家有关安全生产的法律法规、《公路水运工程安全生产监督管理办法》、</w:t>
      </w:r>
      <w:r>
        <w:rPr>
          <w:rFonts w:hint="eastAsia"/>
          <w:highlight w:val="none"/>
        </w:rPr>
        <w:t>《江苏省公路水运建设工程安全监管规定》</w:t>
      </w:r>
      <w:r>
        <w:rPr>
          <w:rFonts w:hint="eastAsia" w:ascii="宋体" w:hAnsi="宋体"/>
          <w:highlight w:val="none"/>
        </w:rPr>
        <w:t>等有关安全生产的规定。认真执行工程承包合同中的有关安全要求。</w:t>
      </w:r>
    </w:p>
    <w:p w14:paraId="0DE1512C">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2</w:t>
      </w:r>
      <w:r>
        <w:rPr>
          <w:rFonts w:hint="eastAsia" w:ascii="宋体" w:hAnsi="宋体"/>
          <w:highlight w:val="none"/>
        </w:rPr>
        <w:t>）坚持“安全第一、预防为主、综合治理”的方针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7CB7CBF0">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3</w:t>
      </w:r>
      <w:r>
        <w:rPr>
          <w:rFonts w:hint="eastAsia" w:ascii="宋体" w:hAnsi="宋体"/>
          <w:highlight w:val="none"/>
        </w:rPr>
        <w:t>）建立健全安全生产责任制。从派往项目实施的项目经理到生产工人（包括临时雇请的民工）的安全生产管理系统必须做到纵向到底，一环不漏；各职能部门、人员的安全生产责任制做到横向到边，人人有责。项目经理是项目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264CCC80">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4</w:t>
      </w:r>
      <w:r>
        <w:rPr>
          <w:rFonts w:hint="eastAsia" w:ascii="宋体" w:hAnsi="宋体"/>
          <w:highlight w:val="none"/>
        </w:rPr>
        <w:t>）承包人在任何时候都应采取各种合理的预防措施，防止其员工发生任何违法、违禁、暴力或妨碍治安的行为。</w:t>
      </w:r>
    </w:p>
    <w:p w14:paraId="50FA27D2">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5</w:t>
      </w:r>
      <w:r>
        <w:rPr>
          <w:rFonts w:hint="eastAsia" w:ascii="宋体" w:hAnsi="宋体"/>
          <w:highlight w:val="none"/>
        </w:rPr>
        <w:t>）承包人必须具有劳动安全管理部门颁发的安全生产考核合格证书，参加项目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负责人必须承担管理责任。</w:t>
      </w:r>
    </w:p>
    <w:p w14:paraId="50676E6B">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6</w:t>
      </w:r>
      <w:r>
        <w:rPr>
          <w:rFonts w:hint="eastAsia" w:ascii="宋体" w:hAnsi="宋体"/>
          <w:highlight w:val="none"/>
        </w:rPr>
        <w:t>）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14:paraId="2554C968">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7</w:t>
      </w:r>
      <w:r>
        <w:rPr>
          <w:rFonts w:hint="eastAsia" w:ascii="宋体" w:hAnsi="宋体"/>
          <w:highlight w:val="none"/>
        </w:rPr>
        <w:t>）操作人员上岗，必须按规定穿戴防护用品。施工负责人和安全检查员应随时检查劳动防护用品的穿戴情况，不按规定穿戴防护用品的人员不得上岗。</w:t>
      </w:r>
    </w:p>
    <w:p w14:paraId="0E18E6BE">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8</w:t>
      </w:r>
      <w:r>
        <w:rPr>
          <w:rFonts w:hint="eastAsia" w:ascii="宋体" w:hAnsi="宋体"/>
          <w:highlight w:val="none"/>
        </w:rPr>
        <w:t>）所有机具设备和高空作业的设备均应定期检查，并有安全员的签字记录，保证其经常处于完好状态；不合格的机具、设备和劳动保护用品严禁使用。</w:t>
      </w:r>
    </w:p>
    <w:p w14:paraId="02681F4B">
      <w:pPr>
        <w:spacing w:line="360" w:lineRule="auto"/>
        <w:ind w:firstLine="420" w:firstLineChars="200"/>
        <w:jc w:val="left"/>
        <w:rPr>
          <w:rFonts w:ascii="宋体"/>
          <w:highlight w:val="none"/>
        </w:rPr>
      </w:pPr>
      <w:r>
        <w:rPr>
          <w:rFonts w:hint="eastAsia" w:ascii="宋体" w:hAnsi="宋体"/>
          <w:highlight w:val="none"/>
        </w:rPr>
        <w:t>（</w:t>
      </w:r>
      <w:r>
        <w:rPr>
          <w:rFonts w:ascii="宋体" w:hAnsi="宋体"/>
          <w:highlight w:val="none"/>
        </w:rPr>
        <w:t>9</w:t>
      </w:r>
      <w:r>
        <w:rPr>
          <w:rFonts w:hint="eastAsia" w:ascii="宋体" w:hAnsi="宋体"/>
          <w:highlight w:val="none"/>
        </w:rPr>
        <w:t>）采用新技术、新工艺、新设备、新材料时，必须了解、掌握其安全技术特性，必须制定相应的安全技术措施，对从业人员进行专门的安全生产教育和培训，项目现场必须具有相关的安全标志标牌。</w:t>
      </w:r>
    </w:p>
    <w:p w14:paraId="0648E0D8">
      <w:pPr>
        <w:spacing w:line="360" w:lineRule="auto"/>
        <w:ind w:firstLine="420" w:firstLineChars="200"/>
        <w:jc w:val="left"/>
        <w:rPr>
          <w:rFonts w:ascii="宋体" w:hAnsi="宋体"/>
          <w:highlight w:val="none"/>
        </w:rPr>
      </w:pPr>
      <w:r>
        <w:rPr>
          <w:rFonts w:hint="eastAsia" w:ascii="宋体" w:hAnsi="宋体"/>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73B7C7D3">
      <w:pPr>
        <w:spacing w:line="360" w:lineRule="auto"/>
        <w:ind w:firstLine="420" w:firstLineChars="200"/>
        <w:jc w:val="left"/>
        <w:rPr>
          <w:rFonts w:ascii="宋体" w:hAnsi="宋体"/>
          <w:highlight w:val="none"/>
        </w:rPr>
      </w:pPr>
      <w:r>
        <w:rPr>
          <w:rFonts w:hint="eastAsia" w:ascii="宋体" w:hAnsi="宋体"/>
          <w:highlight w:val="none"/>
        </w:rPr>
        <w:t>（1</w:t>
      </w:r>
      <w:r>
        <w:rPr>
          <w:rFonts w:ascii="宋体" w:hAnsi="宋体"/>
          <w:highlight w:val="none"/>
        </w:rPr>
        <w:t>1</w:t>
      </w:r>
      <w:r>
        <w:rPr>
          <w:rFonts w:hint="eastAsia" w:ascii="宋体" w:hAnsi="宋体"/>
          <w:highlight w:val="none"/>
        </w:rPr>
        <w:t>）因本项目为涉水作业，承包人应为作业人员配备必备的救生用品，如救生衣、救生圈等，进行涉水作业安全教育、培训，建立安全应急预案。</w:t>
      </w:r>
    </w:p>
    <w:p w14:paraId="38D5B27D">
      <w:pPr>
        <w:spacing w:line="360" w:lineRule="auto"/>
        <w:ind w:firstLine="420" w:firstLineChars="200"/>
        <w:jc w:val="left"/>
        <w:rPr>
          <w:rFonts w:ascii="宋体" w:hAnsi="宋体" w:cs="宋体"/>
          <w:bCs/>
          <w:highlight w:val="none"/>
        </w:rPr>
      </w:pPr>
      <w:r>
        <w:rPr>
          <w:rFonts w:hint="eastAsia" w:ascii="宋体" w:hAnsi="宋体" w:cs="宋体"/>
          <w:bCs/>
          <w:highlight w:val="none"/>
        </w:rPr>
        <w:t>3．违约责任</w:t>
      </w:r>
    </w:p>
    <w:p w14:paraId="3FD30995">
      <w:pPr>
        <w:spacing w:line="360" w:lineRule="auto"/>
        <w:ind w:firstLine="420" w:firstLineChars="200"/>
        <w:jc w:val="left"/>
        <w:rPr>
          <w:rFonts w:ascii="宋体" w:hAnsi="宋体" w:cs="宋体"/>
          <w:bCs/>
          <w:highlight w:val="none"/>
        </w:rPr>
      </w:pPr>
      <w:r>
        <w:rPr>
          <w:rFonts w:hint="eastAsia" w:ascii="宋体" w:hAnsi="宋体" w:cs="宋体"/>
          <w:bCs/>
          <w:highlight w:val="none"/>
        </w:rPr>
        <w:t>如因发包人或承包人违约造成安全事故，将依法追究责任。</w:t>
      </w:r>
    </w:p>
    <w:p w14:paraId="4081FD88">
      <w:pPr>
        <w:spacing w:line="360" w:lineRule="auto"/>
        <w:ind w:firstLine="420" w:firstLineChars="200"/>
        <w:jc w:val="left"/>
        <w:rPr>
          <w:rFonts w:ascii="宋体" w:hAnsi="宋体" w:cs="宋体"/>
          <w:bCs/>
          <w:highlight w:val="none"/>
        </w:rPr>
      </w:pPr>
      <w:r>
        <w:rPr>
          <w:rFonts w:hint="eastAsia" w:ascii="宋体" w:hAnsi="宋体" w:cs="宋体"/>
          <w:bCs/>
          <w:highlight w:val="none"/>
        </w:rPr>
        <w:t>4．本合同由双方法定代表人或其授权的代理人签署并加盖单位章后生效，全部工程竣工验收后失效。</w:t>
      </w:r>
    </w:p>
    <w:p w14:paraId="22B9DA00">
      <w:pPr>
        <w:spacing w:line="360" w:lineRule="auto"/>
        <w:ind w:firstLine="420" w:firstLineChars="200"/>
        <w:jc w:val="left"/>
        <w:rPr>
          <w:rFonts w:ascii="宋体" w:hAnsi="宋体" w:cs="宋体"/>
          <w:bCs/>
          <w:highlight w:val="none"/>
        </w:rPr>
      </w:pPr>
      <w:r>
        <w:rPr>
          <w:rFonts w:hint="eastAsia" w:ascii="宋体" w:hAnsi="宋体" w:cs="宋体"/>
          <w:bCs/>
          <w:highlight w:val="none"/>
        </w:rPr>
        <w:t>5．本合同正本贰份、副本</w:t>
      </w:r>
      <w:r>
        <w:rPr>
          <w:rFonts w:hint="eastAsia" w:ascii="宋体" w:hAnsi="宋体" w:cs="宋体"/>
          <w:bCs/>
          <w:highlight w:val="none"/>
          <w:u w:val="single"/>
        </w:rPr>
        <w:t>肆</w:t>
      </w:r>
      <w:r>
        <w:rPr>
          <w:rFonts w:hint="eastAsia" w:ascii="宋体" w:hAnsi="宋体" w:cs="宋体"/>
          <w:bCs/>
          <w:highlight w:val="none"/>
        </w:rPr>
        <w:t>份，合同双方各执正本壹份，副本</w:t>
      </w:r>
      <w:r>
        <w:rPr>
          <w:rStyle w:val="65"/>
          <w:rFonts w:hint="eastAsia"/>
          <w:highlight w:val="none"/>
        </w:rPr>
        <w:t>贰</w:t>
      </w:r>
      <w:r>
        <w:rPr>
          <w:rFonts w:hint="eastAsia" w:ascii="宋体" w:hAnsi="宋体" w:cs="宋体"/>
          <w:bCs/>
          <w:highlight w:val="none"/>
        </w:rPr>
        <w:t>份，当正本与副本的内容不一致时，以正本为准。</w:t>
      </w:r>
    </w:p>
    <w:p w14:paraId="2516DEFE">
      <w:pPr>
        <w:spacing w:line="400" w:lineRule="exact"/>
        <w:ind w:firstLine="525" w:firstLineChars="250"/>
        <w:rPr>
          <w:rFonts w:ascii="宋体" w:hAnsi="宋体" w:cs="宋体"/>
          <w:bCs/>
          <w:highlight w:val="none"/>
        </w:rPr>
      </w:pPr>
    </w:p>
    <w:p w14:paraId="33AAC821">
      <w:pPr>
        <w:spacing w:line="360" w:lineRule="auto"/>
        <w:rPr>
          <w:rFonts w:cs="仿宋"/>
          <w:highlight w:val="none"/>
        </w:rPr>
      </w:pPr>
      <w:r>
        <w:rPr>
          <w:rFonts w:cs="仿宋"/>
          <w:highlight w:val="none"/>
        </w:rPr>
        <w:t>发包人：（盖单位章）</w:t>
      </w:r>
      <w:r>
        <w:rPr>
          <w:rFonts w:hint="eastAsia" w:cs="仿宋"/>
          <w:highlight w:val="none"/>
        </w:rPr>
        <w:t xml:space="preserve">                  </w:t>
      </w:r>
      <w:r>
        <w:rPr>
          <w:rFonts w:cs="仿宋"/>
          <w:highlight w:val="none"/>
        </w:rPr>
        <w:t>承包人：（盖单位章）</w:t>
      </w:r>
    </w:p>
    <w:p w14:paraId="39CC5C4D">
      <w:pPr>
        <w:spacing w:line="360" w:lineRule="auto"/>
        <w:rPr>
          <w:rFonts w:cs="仿宋"/>
          <w:highlight w:val="none"/>
        </w:rPr>
      </w:pPr>
      <w:r>
        <w:rPr>
          <w:rFonts w:cs="仿宋"/>
          <w:highlight w:val="none"/>
        </w:rPr>
        <w:t>法定代表人</w:t>
      </w:r>
      <w:r>
        <w:rPr>
          <w:rFonts w:hint="eastAsia" w:cs="仿宋"/>
          <w:highlight w:val="none"/>
        </w:rPr>
        <w:t xml:space="preserve">                            </w:t>
      </w:r>
      <w:r>
        <w:rPr>
          <w:rFonts w:cs="仿宋"/>
          <w:highlight w:val="none"/>
        </w:rPr>
        <w:t>法定代表人</w:t>
      </w:r>
    </w:p>
    <w:p w14:paraId="6FFDC64B">
      <w:pPr>
        <w:spacing w:line="360" w:lineRule="auto"/>
        <w:rPr>
          <w:rFonts w:cs="仿宋"/>
          <w:highlight w:val="none"/>
        </w:rPr>
      </w:pPr>
      <w:r>
        <w:rPr>
          <w:rFonts w:cs="仿宋"/>
          <w:highlight w:val="none"/>
        </w:rPr>
        <w:t>或其委托代理人：（签字）</w:t>
      </w:r>
      <w:r>
        <w:rPr>
          <w:rFonts w:hint="eastAsia" w:cs="仿宋"/>
          <w:highlight w:val="none"/>
        </w:rPr>
        <w:t xml:space="preserve">              </w:t>
      </w:r>
      <w:r>
        <w:rPr>
          <w:rFonts w:cs="仿宋"/>
          <w:highlight w:val="none"/>
        </w:rPr>
        <w:t>或其委托代理人：（签字）</w:t>
      </w:r>
    </w:p>
    <w:p w14:paraId="75AD20A8">
      <w:pPr>
        <w:spacing w:line="360" w:lineRule="auto"/>
        <w:ind w:firstLine="2100" w:firstLineChars="1000"/>
        <w:rPr>
          <w:rFonts w:cs="仿宋"/>
          <w:highlight w:val="none"/>
        </w:rPr>
      </w:pPr>
      <w:r>
        <w:rPr>
          <w:rFonts w:cs="仿宋"/>
          <w:highlight w:val="none"/>
        </w:rPr>
        <w:t>年</w:t>
      </w:r>
      <w:r>
        <w:rPr>
          <w:rFonts w:hint="eastAsia" w:cs="仿宋"/>
          <w:highlight w:val="none"/>
        </w:rPr>
        <w:t xml:space="preserve">  </w:t>
      </w:r>
      <w:r>
        <w:rPr>
          <w:rFonts w:cs="仿宋"/>
          <w:highlight w:val="none"/>
        </w:rPr>
        <w:t>月</w:t>
      </w:r>
      <w:r>
        <w:rPr>
          <w:rFonts w:hint="eastAsia" w:cs="仿宋"/>
          <w:highlight w:val="none"/>
        </w:rPr>
        <w:t xml:space="preserve">  </w:t>
      </w:r>
      <w:r>
        <w:rPr>
          <w:rFonts w:cs="仿宋"/>
          <w:highlight w:val="none"/>
        </w:rPr>
        <w:t>日</w:t>
      </w:r>
      <w:r>
        <w:rPr>
          <w:rFonts w:hint="eastAsia" w:cs="仿宋"/>
          <w:highlight w:val="none"/>
        </w:rPr>
        <w:t xml:space="preserve">                             </w:t>
      </w:r>
      <w:r>
        <w:rPr>
          <w:rFonts w:cs="仿宋"/>
          <w:highlight w:val="none"/>
        </w:rPr>
        <w:t>年</w:t>
      </w:r>
      <w:r>
        <w:rPr>
          <w:rFonts w:hint="eastAsia" w:cs="仿宋"/>
          <w:highlight w:val="none"/>
        </w:rPr>
        <w:t xml:space="preserve">  </w:t>
      </w:r>
      <w:r>
        <w:rPr>
          <w:rFonts w:cs="仿宋"/>
          <w:highlight w:val="none"/>
        </w:rPr>
        <w:t>月</w:t>
      </w:r>
      <w:r>
        <w:rPr>
          <w:rFonts w:hint="eastAsia" w:cs="仿宋"/>
          <w:highlight w:val="none"/>
        </w:rPr>
        <w:t xml:space="preserve">  </w:t>
      </w:r>
      <w:r>
        <w:rPr>
          <w:rFonts w:cs="仿宋"/>
          <w:highlight w:val="none"/>
        </w:rPr>
        <w:t>日</w:t>
      </w:r>
    </w:p>
    <w:p w14:paraId="632AB25B">
      <w:pPr>
        <w:adjustRightInd w:val="0"/>
        <w:snapToGrid w:val="0"/>
        <w:spacing w:line="360" w:lineRule="auto"/>
        <w:ind w:firstLine="525" w:firstLineChars="250"/>
        <w:rPr>
          <w:rFonts w:ascii="宋体" w:hAnsi="宋体"/>
          <w:kern w:val="0"/>
          <w:highlight w:val="none"/>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110E0C99">
      <w:pPr>
        <w:spacing w:line="360" w:lineRule="auto"/>
        <w:ind w:firstLine="2100" w:firstLineChars="1000"/>
        <w:rPr>
          <w:rFonts w:cs="仿宋"/>
          <w:highlight w:val="none"/>
        </w:rPr>
      </w:pPr>
    </w:p>
    <w:p w14:paraId="3E50D500">
      <w:pPr>
        <w:tabs>
          <w:tab w:val="left" w:pos="5800"/>
          <w:tab w:val="left" w:pos="6640"/>
          <w:tab w:val="left" w:pos="7480"/>
        </w:tabs>
        <w:autoSpaceDE w:val="0"/>
        <w:autoSpaceDN w:val="0"/>
        <w:adjustRightInd w:val="0"/>
        <w:spacing w:line="220" w:lineRule="exact"/>
        <w:ind w:left="4446" w:right="-20"/>
        <w:jc w:val="left"/>
        <w:rPr>
          <w:rFonts w:hint="eastAsia" w:ascii="宋体" w:hAnsi="宋体" w:cs="宋体"/>
          <w:kern w:val="0"/>
          <w:sz w:val="24"/>
          <w:szCs w:val="24"/>
          <w:highlight w:val="none"/>
        </w:rPr>
      </w:pPr>
    </w:p>
    <w:p w14:paraId="2E11F6AD">
      <w:pPr>
        <w:pStyle w:val="2"/>
        <w:spacing w:before="0" w:after="0" w:line="240" w:lineRule="auto"/>
        <w:rPr>
          <w:sz w:val="48"/>
          <w:szCs w:val="48"/>
          <w:highlight w:val="none"/>
        </w:rPr>
      </w:pPr>
    </w:p>
    <w:p w14:paraId="30318CC6">
      <w:pPr>
        <w:rPr>
          <w:sz w:val="48"/>
          <w:szCs w:val="48"/>
          <w:highlight w:val="none"/>
        </w:rPr>
      </w:pPr>
    </w:p>
    <w:p w14:paraId="09D8368E">
      <w:pPr>
        <w:pStyle w:val="20"/>
        <w:rPr>
          <w:sz w:val="48"/>
          <w:szCs w:val="48"/>
          <w:highlight w:val="none"/>
        </w:rPr>
      </w:pPr>
    </w:p>
    <w:p w14:paraId="15D78C38">
      <w:pPr>
        <w:rPr>
          <w:sz w:val="48"/>
          <w:szCs w:val="48"/>
          <w:highlight w:val="none"/>
        </w:rPr>
      </w:pPr>
    </w:p>
    <w:p w14:paraId="24CDBB18">
      <w:pPr>
        <w:pStyle w:val="20"/>
        <w:rPr>
          <w:sz w:val="48"/>
          <w:szCs w:val="48"/>
          <w:highlight w:val="none"/>
        </w:rPr>
      </w:pPr>
    </w:p>
    <w:p w14:paraId="02C18300">
      <w:pPr>
        <w:rPr>
          <w:highlight w:val="none"/>
        </w:rPr>
      </w:pPr>
    </w:p>
    <w:p w14:paraId="37D3C54D">
      <w:pPr>
        <w:rPr>
          <w:highlight w:val="none"/>
        </w:rPr>
      </w:pPr>
    </w:p>
    <w:p w14:paraId="5C5B160B">
      <w:pPr>
        <w:rPr>
          <w:highlight w:val="none"/>
        </w:rPr>
      </w:pPr>
    </w:p>
    <w:p w14:paraId="368047F2">
      <w:pPr>
        <w:rPr>
          <w:highlight w:val="none"/>
        </w:rPr>
      </w:pPr>
    </w:p>
    <w:p w14:paraId="6C2A415B">
      <w:pPr>
        <w:rPr>
          <w:highlight w:val="none"/>
        </w:rPr>
      </w:pPr>
    </w:p>
    <w:p w14:paraId="5BC73E84">
      <w:pPr>
        <w:pStyle w:val="2"/>
        <w:spacing w:before="0" w:after="0" w:line="240" w:lineRule="auto"/>
        <w:jc w:val="center"/>
        <w:rPr>
          <w:rFonts w:eastAsia="黑体"/>
          <w:b w:val="0"/>
          <w:bCs w:val="0"/>
          <w:sz w:val="52"/>
          <w:szCs w:val="52"/>
          <w:highlight w:val="none"/>
        </w:rPr>
      </w:pPr>
      <w:bookmarkStart w:id="91" w:name="_Toc19380"/>
      <w:r>
        <w:rPr>
          <w:rFonts w:hint="eastAsia" w:eastAsia="黑体" w:cs="黑体"/>
          <w:b w:val="0"/>
          <w:bCs w:val="0"/>
          <w:sz w:val="52"/>
          <w:szCs w:val="52"/>
          <w:highlight w:val="none"/>
        </w:rPr>
        <w:t>第五章工程量清单</w:t>
      </w:r>
      <w:r>
        <w:rPr>
          <w:rFonts w:eastAsia="黑体"/>
          <w:b w:val="0"/>
          <w:bCs w:val="0"/>
          <w:sz w:val="52"/>
          <w:szCs w:val="52"/>
          <w:highlight w:val="none"/>
        </w:rPr>
        <w:t>(</w:t>
      </w:r>
      <w:r>
        <w:rPr>
          <w:rFonts w:hint="eastAsia" w:eastAsia="黑体" w:cs="黑体"/>
          <w:b w:val="0"/>
          <w:bCs w:val="0"/>
          <w:sz w:val="52"/>
          <w:szCs w:val="52"/>
          <w:highlight w:val="none"/>
        </w:rPr>
        <w:t>另册</w:t>
      </w:r>
      <w:r>
        <w:rPr>
          <w:rFonts w:eastAsia="黑体"/>
          <w:b w:val="0"/>
          <w:bCs w:val="0"/>
          <w:sz w:val="52"/>
          <w:szCs w:val="52"/>
          <w:highlight w:val="none"/>
        </w:rPr>
        <w:t>)</w:t>
      </w:r>
      <w:bookmarkEnd w:id="91"/>
    </w:p>
    <w:p w14:paraId="2032D19D">
      <w:pPr>
        <w:rPr>
          <w:b/>
          <w:sz w:val="30"/>
          <w:szCs w:val="30"/>
          <w:highlight w:val="none"/>
        </w:rPr>
      </w:pPr>
      <w:r>
        <w:rPr>
          <w:b/>
          <w:sz w:val="30"/>
          <w:szCs w:val="30"/>
          <w:highlight w:val="none"/>
        </w:rPr>
        <w:br w:type="page"/>
      </w:r>
    </w:p>
    <w:p w14:paraId="6ED9D541">
      <w:pPr>
        <w:pStyle w:val="27"/>
        <w:jc w:val="center"/>
        <w:rPr>
          <w:rFonts w:ascii="Times New Roman" w:hAnsi="Times New Roman"/>
          <w:b/>
          <w:sz w:val="30"/>
          <w:szCs w:val="30"/>
          <w:highlight w:val="none"/>
        </w:rPr>
      </w:pPr>
      <w:r>
        <w:rPr>
          <w:rFonts w:ascii="Times New Roman" w:hAnsi="Times New Roman"/>
          <w:b/>
          <w:sz w:val="30"/>
          <w:szCs w:val="30"/>
          <w:highlight w:val="none"/>
        </w:rPr>
        <w:t>说明</w:t>
      </w:r>
    </w:p>
    <w:p w14:paraId="50BC87F5">
      <w:pPr>
        <w:pStyle w:val="27"/>
        <w:ind w:firstLine="480" w:firstLineChars="200"/>
        <w:rPr>
          <w:rFonts w:ascii="Times New Roman" w:hAnsi="Times New Roman"/>
          <w:highlight w:val="none"/>
        </w:rPr>
      </w:pPr>
      <w:r>
        <w:rPr>
          <w:rFonts w:ascii="Times New Roman" w:hAnsi="Times New Roman"/>
          <w:highlight w:val="none"/>
        </w:rPr>
        <w:t>1、本项目工程量清单计量与计价按照</w:t>
      </w:r>
      <w:r>
        <w:rPr>
          <w:rFonts w:hint="eastAsia" w:ascii="Times New Roman" w:hAnsi="Times New Roman"/>
          <w:highlight w:val="none"/>
        </w:rPr>
        <w:t>江苏省</w:t>
      </w:r>
      <w:r>
        <w:rPr>
          <w:rFonts w:ascii="Times New Roman" w:hAnsi="Times New Roman"/>
          <w:highlight w:val="none"/>
        </w:rPr>
        <w:t>交通运输</w:t>
      </w:r>
      <w:r>
        <w:rPr>
          <w:rFonts w:hint="eastAsia" w:ascii="Times New Roman" w:hAnsi="Times New Roman"/>
          <w:highlight w:val="none"/>
        </w:rPr>
        <w:t>厅</w:t>
      </w:r>
      <w:r>
        <w:rPr>
          <w:rFonts w:ascii="Times New Roman" w:hAnsi="Times New Roman"/>
          <w:highlight w:val="none"/>
        </w:rPr>
        <w:t>发布的《</w:t>
      </w:r>
      <w:r>
        <w:rPr>
          <w:rFonts w:hint="eastAsia" w:ascii="Times New Roman" w:hAnsi="Times New Roman"/>
          <w:highlight w:val="none"/>
        </w:rPr>
        <w:t>内河航道养护工程预算编制办法及定额</w:t>
      </w:r>
      <w:r>
        <w:rPr>
          <w:rFonts w:ascii="Times New Roman" w:hAnsi="Times New Roman"/>
          <w:highlight w:val="none"/>
        </w:rPr>
        <w:t>》</w:t>
      </w:r>
      <w:r>
        <w:rPr>
          <w:rFonts w:hint="eastAsia" w:ascii="Times New Roman" w:hAnsi="Times New Roman"/>
          <w:highlight w:val="none"/>
        </w:rPr>
        <w:t>DB 32/T 2174-2013标准</w:t>
      </w:r>
      <w:r>
        <w:rPr>
          <w:rFonts w:ascii="Times New Roman" w:hAnsi="Times New Roman"/>
          <w:highlight w:val="none"/>
        </w:rPr>
        <w:t>及其附录编制。</w:t>
      </w:r>
    </w:p>
    <w:p w14:paraId="4814BA43">
      <w:pPr>
        <w:spacing w:line="360" w:lineRule="auto"/>
        <w:ind w:firstLine="420" w:firstLineChars="200"/>
        <w:rPr>
          <w:highlight w:val="none"/>
        </w:rPr>
      </w:pPr>
      <w:r>
        <w:rPr>
          <w:highlight w:val="none"/>
        </w:rPr>
        <w:t>2、</w:t>
      </w:r>
      <w:r>
        <w:rPr>
          <w:rFonts w:hint="eastAsia"/>
          <w:highlight w:val="none"/>
        </w:rPr>
        <w:t>除此</w:t>
      </w:r>
      <w:r>
        <w:rPr>
          <w:highlight w:val="none"/>
        </w:rPr>
        <w:t>之外</w:t>
      </w:r>
      <w:r>
        <w:rPr>
          <w:rFonts w:hint="eastAsia"/>
          <w:highlight w:val="none"/>
        </w:rPr>
        <w:t>，投标人在报价及合同执行时，还需按照</w:t>
      </w:r>
      <w:r>
        <w:rPr>
          <w:highlight w:val="none"/>
        </w:rPr>
        <w:t>本招标文件中明确的投标报价的有关规定</w:t>
      </w:r>
      <w:r>
        <w:rPr>
          <w:rFonts w:hint="eastAsia"/>
          <w:highlight w:val="none"/>
        </w:rPr>
        <w:t>、</w:t>
      </w:r>
      <w:r>
        <w:rPr>
          <w:highlight w:val="none"/>
        </w:rPr>
        <w:t>要求执行</w:t>
      </w:r>
      <w:r>
        <w:rPr>
          <w:rFonts w:hint="eastAsia"/>
          <w:highlight w:val="none"/>
        </w:rPr>
        <w:t>。</w:t>
      </w:r>
    </w:p>
    <w:p w14:paraId="46B5B0DC">
      <w:pPr>
        <w:rPr>
          <w:highlight w:val="none"/>
        </w:rPr>
      </w:pPr>
    </w:p>
    <w:p w14:paraId="2A895F57">
      <w:pPr>
        <w:rPr>
          <w:highlight w:val="none"/>
        </w:rPr>
      </w:pPr>
      <w:r>
        <w:rPr>
          <w:highlight w:val="none"/>
        </w:rPr>
        <w:br w:type="page"/>
      </w:r>
    </w:p>
    <w:p w14:paraId="172A23FF">
      <w:pPr>
        <w:pStyle w:val="20"/>
        <w:rPr>
          <w:highlight w:val="none"/>
        </w:rPr>
      </w:pPr>
    </w:p>
    <w:p w14:paraId="20D1E97C">
      <w:pPr>
        <w:pStyle w:val="20"/>
        <w:rPr>
          <w:highlight w:val="none"/>
        </w:rPr>
      </w:pPr>
    </w:p>
    <w:p w14:paraId="4D0F688E">
      <w:pPr>
        <w:pStyle w:val="20"/>
        <w:rPr>
          <w:highlight w:val="none"/>
        </w:rPr>
      </w:pPr>
    </w:p>
    <w:p w14:paraId="67DFAF22">
      <w:pPr>
        <w:pStyle w:val="20"/>
        <w:rPr>
          <w:highlight w:val="none"/>
        </w:rPr>
      </w:pPr>
    </w:p>
    <w:p w14:paraId="6CB71956">
      <w:pPr>
        <w:pStyle w:val="20"/>
        <w:rPr>
          <w:highlight w:val="none"/>
        </w:rPr>
      </w:pPr>
    </w:p>
    <w:p w14:paraId="134C64AE">
      <w:pPr>
        <w:pStyle w:val="2"/>
        <w:jc w:val="center"/>
        <w:rPr>
          <w:rFonts w:eastAsia="黑体" w:cs="黑体"/>
          <w:b w:val="0"/>
          <w:bCs w:val="0"/>
          <w:sz w:val="72"/>
          <w:szCs w:val="72"/>
          <w:highlight w:val="none"/>
        </w:rPr>
      </w:pPr>
      <w:bookmarkStart w:id="92" w:name="_Toc460366518"/>
      <w:bookmarkStart w:id="93" w:name="_Toc24697"/>
    </w:p>
    <w:p w14:paraId="6488E8E9">
      <w:pPr>
        <w:pStyle w:val="2"/>
        <w:jc w:val="center"/>
        <w:rPr>
          <w:rFonts w:eastAsia="黑体"/>
          <w:b w:val="0"/>
          <w:bCs w:val="0"/>
          <w:sz w:val="72"/>
          <w:szCs w:val="72"/>
          <w:highlight w:val="none"/>
        </w:rPr>
      </w:pPr>
      <w:r>
        <w:rPr>
          <w:rFonts w:hint="eastAsia" w:eastAsia="黑体" w:cs="黑体"/>
          <w:b w:val="0"/>
          <w:bCs w:val="0"/>
          <w:sz w:val="72"/>
          <w:szCs w:val="72"/>
          <w:highlight w:val="none"/>
        </w:rPr>
        <w:t>第二卷</w:t>
      </w:r>
      <w:bookmarkEnd w:id="92"/>
      <w:bookmarkEnd w:id="93"/>
    </w:p>
    <w:p w14:paraId="69558178">
      <w:pPr>
        <w:rPr>
          <w:highlight w:val="none"/>
        </w:rPr>
      </w:pPr>
      <w:r>
        <w:rPr>
          <w:highlight w:val="none"/>
        </w:rPr>
        <w:br w:type="page"/>
      </w:r>
    </w:p>
    <w:p w14:paraId="75239E57">
      <w:pPr>
        <w:pStyle w:val="20"/>
        <w:rPr>
          <w:highlight w:val="none"/>
        </w:rPr>
      </w:pPr>
    </w:p>
    <w:p w14:paraId="1F33D866">
      <w:pPr>
        <w:pStyle w:val="20"/>
        <w:rPr>
          <w:highlight w:val="none"/>
        </w:rPr>
      </w:pPr>
    </w:p>
    <w:p w14:paraId="385AFD5D">
      <w:pPr>
        <w:pStyle w:val="20"/>
        <w:rPr>
          <w:highlight w:val="none"/>
        </w:rPr>
      </w:pPr>
    </w:p>
    <w:p w14:paraId="0DE224ED">
      <w:pPr>
        <w:pStyle w:val="20"/>
        <w:rPr>
          <w:highlight w:val="none"/>
        </w:rPr>
      </w:pPr>
    </w:p>
    <w:p w14:paraId="470D5093">
      <w:pPr>
        <w:pStyle w:val="2"/>
        <w:spacing w:before="0" w:after="0" w:line="240" w:lineRule="auto"/>
        <w:jc w:val="center"/>
        <w:rPr>
          <w:rFonts w:eastAsia="黑体" w:cs="黑体"/>
          <w:b w:val="0"/>
          <w:bCs w:val="0"/>
          <w:sz w:val="52"/>
          <w:szCs w:val="52"/>
          <w:highlight w:val="none"/>
        </w:rPr>
      </w:pPr>
      <w:bookmarkStart w:id="94" w:name="_Toc31420"/>
    </w:p>
    <w:p w14:paraId="36A87E5B">
      <w:pPr>
        <w:pStyle w:val="2"/>
        <w:spacing w:before="0" w:after="0" w:line="240" w:lineRule="auto"/>
        <w:jc w:val="center"/>
        <w:rPr>
          <w:rFonts w:eastAsia="黑体" w:cs="黑体"/>
          <w:b w:val="0"/>
          <w:bCs w:val="0"/>
          <w:sz w:val="52"/>
          <w:szCs w:val="52"/>
          <w:highlight w:val="none"/>
        </w:rPr>
      </w:pPr>
    </w:p>
    <w:p w14:paraId="5DE71D11">
      <w:pPr>
        <w:pStyle w:val="2"/>
        <w:spacing w:before="0" w:after="0" w:line="240" w:lineRule="auto"/>
        <w:jc w:val="center"/>
        <w:rPr>
          <w:rFonts w:eastAsia="黑体" w:cs="黑体"/>
          <w:b w:val="0"/>
          <w:bCs w:val="0"/>
          <w:sz w:val="52"/>
          <w:szCs w:val="52"/>
          <w:highlight w:val="none"/>
        </w:rPr>
      </w:pPr>
    </w:p>
    <w:p w14:paraId="3DDA95E7">
      <w:pPr>
        <w:pStyle w:val="2"/>
        <w:spacing w:before="0" w:after="0" w:line="240" w:lineRule="auto"/>
        <w:jc w:val="center"/>
        <w:rPr>
          <w:rFonts w:eastAsia="黑体" w:cs="黑体"/>
          <w:b w:val="0"/>
          <w:bCs w:val="0"/>
          <w:sz w:val="52"/>
          <w:szCs w:val="52"/>
          <w:highlight w:val="none"/>
        </w:rPr>
      </w:pPr>
    </w:p>
    <w:p w14:paraId="3D0F42D5">
      <w:pPr>
        <w:pStyle w:val="2"/>
        <w:spacing w:before="0" w:after="0" w:line="240" w:lineRule="auto"/>
        <w:jc w:val="center"/>
        <w:rPr>
          <w:rFonts w:eastAsia="黑体"/>
          <w:b w:val="0"/>
          <w:bCs w:val="0"/>
          <w:sz w:val="52"/>
          <w:szCs w:val="52"/>
          <w:highlight w:val="none"/>
        </w:rPr>
      </w:pPr>
      <w:r>
        <w:rPr>
          <w:rFonts w:hint="eastAsia" w:eastAsia="黑体" w:cs="黑体"/>
          <w:b w:val="0"/>
          <w:bCs w:val="0"/>
          <w:sz w:val="52"/>
          <w:szCs w:val="52"/>
          <w:highlight w:val="none"/>
        </w:rPr>
        <w:t>第六章图纸</w:t>
      </w:r>
      <w:r>
        <w:rPr>
          <w:rFonts w:eastAsia="黑体"/>
          <w:b w:val="0"/>
          <w:bCs w:val="0"/>
          <w:sz w:val="52"/>
          <w:szCs w:val="52"/>
          <w:highlight w:val="none"/>
        </w:rPr>
        <w:t>(</w:t>
      </w:r>
      <w:r>
        <w:rPr>
          <w:rFonts w:hint="eastAsia" w:eastAsia="黑体" w:cs="黑体"/>
          <w:b w:val="0"/>
          <w:bCs w:val="0"/>
          <w:sz w:val="52"/>
          <w:szCs w:val="52"/>
          <w:highlight w:val="none"/>
        </w:rPr>
        <w:t>另册</w:t>
      </w:r>
      <w:r>
        <w:rPr>
          <w:rFonts w:eastAsia="黑体"/>
          <w:b w:val="0"/>
          <w:bCs w:val="0"/>
          <w:sz w:val="52"/>
          <w:szCs w:val="52"/>
          <w:highlight w:val="none"/>
        </w:rPr>
        <w:t>)</w:t>
      </w:r>
      <w:bookmarkEnd w:id="94"/>
    </w:p>
    <w:p w14:paraId="769B26FE">
      <w:pPr>
        <w:spacing w:line="400" w:lineRule="exact"/>
        <w:rPr>
          <w:b/>
          <w:bCs/>
          <w:highlight w:val="none"/>
        </w:rPr>
        <w:sectPr>
          <w:headerReference r:id="rId7" w:type="default"/>
          <w:footerReference r:id="rId8" w:type="default"/>
          <w:type w:val="continuous"/>
          <w:pgSz w:w="11905" w:h="16838"/>
          <w:pgMar w:top="1077" w:right="1134" w:bottom="1077" w:left="1134" w:header="850" w:footer="992" w:gutter="0"/>
          <w:pgNumType w:fmt="decimal"/>
          <w:cols w:space="0" w:num="1"/>
        </w:sectPr>
      </w:pPr>
    </w:p>
    <w:p w14:paraId="1AB31714">
      <w:pPr>
        <w:rPr>
          <w:sz w:val="48"/>
          <w:szCs w:val="48"/>
          <w:highlight w:val="none"/>
        </w:rPr>
      </w:pPr>
    </w:p>
    <w:p w14:paraId="46093CE8">
      <w:pPr>
        <w:pStyle w:val="20"/>
        <w:rPr>
          <w:highlight w:val="none"/>
        </w:rPr>
      </w:pPr>
    </w:p>
    <w:p w14:paraId="69422E6C">
      <w:pPr>
        <w:pStyle w:val="20"/>
        <w:rPr>
          <w:highlight w:val="none"/>
        </w:rPr>
      </w:pPr>
    </w:p>
    <w:p w14:paraId="204A32E5">
      <w:pPr>
        <w:pStyle w:val="20"/>
        <w:rPr>
          <w:highlight w:val="none"/>
        </w:rPr>
      </w:pPr>
    </w:p>
    <w:p w14:paraId="7F9F39C2">
      <w:pPr>
        <w:pStyle w:val="20"/>
        <w:rPr>
          <w:highlight w:val="none"/>
        </w:rPr>
      </w:pPr>
    </w:p>
    <w:p w14:paraId="10D37C9F">
      <w:pPr>
        <w:pStyle w:val="2"/>
        <w:jc w:val="center"/>
        <w:rPr>
          <w:rFonts w:eastAsia="黑体"/>
          <w:b w:val="0"/>
          <w:bCs w:val="0"/>
          <w:sz w:val="72"/>
          <w:szCs w:val="72"/>
          <w:highlight w:val="none"/>
        </w:rPr>
      </w:pPr>
      <w:bookmarkStart w:id="95" w:name="_Toc460366520"/>
      <w:bookmarkStart w:id="96" w:name="_Toc27883"/>
      <w:r>
        <w:rPr>
          <w:rFonts w:hint="eastAsia" w:eastAsia="黑体" w:cs="黑体"/>
          <w:b w:val="0"/>
          <w:bCs w:val="0"/>
          <w:sz w:val="72"/>
          <w:szCs w:val="72"/>
          <w:highlight w:val="none"/>
        </w:rPr>
        <w:t>第三卷</w:t>
      </w:r>
      <w:bookmarkEnd w:id="95"/>
      <w:bookmarkEnd w:id="96"/>
    </w:p>
    <w:p w14:paraId="2F27274F">
      <w:pPr>
        <w:pStyle w:val="2"/>
        <w:jc w:val="center"/>
        <w:rPr>
          <w:sz w:val="72"/>
          <w:szCs w:val="72"/>
          <w:highlight w:val="none"/>
        </w:rPr>
        <w:sectPr>
          <w:type w:val="continuous"/>
          <w:pgSz w:w="11905" w:h="16838"/>
          <w:pgMar w:top="1077" w:right="1134" w:bottom="1077" w:left="1134" w:header="850" w:footer="992" w:gutter="0"/>
          <w:pgNumType w:fmt="decimal"/>
          <w:cols w:space="0" w:num="1"/>
        </w:sectPr>
      </w:pPr>
    </w:p>
    <w:p w14:paraId="3699B091">
      <w:pPr>
        <w:rPr>
          <w:rFonts w:eastAsia="黑体" w:cs="黑体"/>
          <w:sz w:val="52"/>
          <w:szCs w:val="52"/>
          <w:highlight w:val="none"/>
        </w:rPr>
      </w:pPr>
      <w:bookmarkStart w:id="97" w:name="_Toc13162"/>
    </w:p>
    <w:p w14:paraId="5C75B893">
      <w:pPr>
        <w:pStyle w:val="20"/>
        <w:rPr>
          <w:highlight w:val="none"/>
        </w:rPr>
      </w:pPr>
    </w:p>
    <w:p w14:paraId="46BE45FC">
      <w:pPr>
        <w:pStyle w:val="20"/>
        <w:rPr>
          <w:highlight w:val="none"/>
        </w:rPr>
      </w:pPr>
    </w:p>
    <w:p w14:paraId="23BBB682">
      <w:pPr>
        <w:pStyle w:val="20"/>
        <w:rPr>
          <w:highlight w:val="none"/>
        </w:rPr>
      </w:pPr>
    </w:p>
    <w:p w14:paraId="3C173009">
      <w:pPr>
        <w:jc w:val="center"/>
        <w:rPr>
          <w:rFonts w:eastAsia="黑体" w:cs="黑体"/>
          <w:sz w:val="52"/>
          <w:szCs w:val="52"/>
          <w:highlight w:val="none"/>
        </w:rPr>
      </w:pPr>
    </w:p>
    <w:p w14:paraId="4089D609">
      <w:pPr>
        <w:jc w:val="center"/>
        <w:rPr>
          <w:rFonts w:eastAsia="黑体" w:cs="黑体"/>
          <w:sz w:val="52"/>
          <w:szCs w:val="52"/>
          <w:highlight w:val="none"/>
        </w:rPr>
      </w:pPr>
    </w:p>
    <w:p w14:paraId="23A140D3">
      <w:pPr>
        <w:jc w:val="center"/>
        <w:rPr>
          <w:rFonts w:eastAsia="黑体" w:cs="黑体"/>
          <w:sz w:val="52"/>
          <w:szCs w:val="52"/>
          <w:highlight w:val="none"/>
        </w:rPr>
      </w:pPr>
    </w:p>
    <w:p w14:paraId="61EA6413">
      <w:pPr>
        <w:jc w:val="center"/>
        <w:rPr>
          <w:rFonts w:eastAsia="黑体" w:cs="黑体"/>
          <w:sz w:val="52"/>
          <w:szCs w:val="52"/>
          <w:highlight w:val="none"/>
        </w:rPr>
      </w:pPr>
    </w:p>
    <w:p w14:paraId="4C7A9595">
      <w:pPr>
        <w:jc w:val="center"/>
        <w:rPr>
          <w:rFonts w:eastAsia="黑体" w:cs="黑体"/>
          <w:sz w:val="52"/>
          <w:szCs w:val="52"/>
          <w:highlight w:val="none"/>
        </w:rPr>
      </w:pPr>
    </w:p>
    <w:p w14:paraId="0024391F">
      <w:pPr>
        <w:jc w:val="center"/>
        <w:rPr>
          <w:rFonts w:eastAsia="黑体" w:cs="黑体"/>
          <w:sz w:val="52"/>
          <w:szCs w:val="52"/>
          <w:highlight w:val="none"/>
        </w:rPr>
      </w:pPr>
      <w:r>
        <w:rPr>
          <w:rFonts w:hint="eastAsia" w:eastAsia="黑体" w:cs="黑体"/>
          <w:sz w:val="52"/>
          <w:szCs w:val="52"/>
          <w:highlight w:val="none"/>
        </w:rPr>
        <w:t>第七章技术规范</w:t>
      </w:r>
      <w:bookmarkEnd w:id="97"/>
    </w:p>
    <w:p w14:paraId="7B67E535">
      <w:pPr>
        <w:pStyle w:val="20"/>
        <w:jc w:val="center"/>
        <w:rPr>
          <w:highlight w:val="none"/>
        </w:rPr>
      </w:pPr>
    </w:p>
    <w:p w14:paraId="0F551765">
      <w:pPr>
        <w:ind w:firstLine="480" w:firstLineChars="200"/>
        <w:jc w:val="center"/>
        <w:rPr>
          <w:rFonts w:hint="eastAsia" w:ascii="宋体" w:hAnsi="宋体" w:cs="宋体"/>
          <w:sz w:val="24"/>
          <w:szCs w:val="24"/>
          <w:highlight w:val="none"/>
        </w:rPr>
      </w:pPr>
      <w:r>
        <w:rPr>
          <w:rFonts w:hint="eastAsia" w:ascii="宋体" w:hAnsi="宋体" w:cs="宋体"/>
          <w:sz w:val="24"/>
          <w:szCs w:val="24"/>
          <w:highlight w:val="none"/>
        </w:rPr>
        <w:t>（详见施工图设计）</w:t>
      </w:r>
    </w:p>
    <w:p w14:paraId="3C231CB7">
      <w:pPr>
        <w:pStyle w:val="20"/>
        <w:jc w:val="center"/>
        <w:rPr>
          <w:highlight w:val="none"/>
        </w:rPr>
      </w:pPr>
    </w:p>
    <w:p w14:paraId="3284F750">
      <w:pPr>
        <w:ind w:right="18"/>
        <w:jc w:val="center"/>
        <w:outlineLvl w:val="0"/>
        <w:rPr>
          <w:rFonts w:ascii="宋体"/>
          <w:highlight w:val="none"/>
        </w:rPr>
      </w:pPr>
      <w:r>
        <w:rPr>
          <w:highlight w:val="none"/>
        </w:rPr>
        <w:br w:type="page"/>
      </w:r>
    </w:p>
    <w:p w14:paraId="36910A01">
      <w:pPr>
        <w:jc w:val="center"/>
        <w:rPr>
          <w:rFonts w:eastAsia="黑体" w:cs="黑体"/>
          <w:sz w:val="52"/>
          <w:szCs w:val="52"/>
          <w:highlight w:val="none"/>
        </w:rPr>
      </w:pPr>
      <w:bookmarkStart w:id="98" w:name="_Toc508614287"/>
      <w:bookmarkStart w:id="99" w:name="_Toc10493"/>
    </w:p>
    <w:p w14:paraId="672C9BFA">
      <w:pPr>
        <w:jc w:val="center"/>
        <w:rPr>
          <w:rFonts w:eastAsia="黑体" w:cs="黑体"/>
          <w:sz w:val="52"/>
          <w:szCs w:val="52"/>
          <w:highlight w:val="none"/>
        </w:rPr>
      </w:pPr>
    </w:p>
    <w:p w14:paraId="6D36C191">
      <w:pPr>
        <w:jc w:val="center"/>
        <w:rPr>
          <w:rFonts w:eastAsia="黑体" w:cs="黑体"/>
          <w:sz w:val="52"/>
          <w:szCs w:val="52"/>
          <w:highlight w:val="none"/>
        </w:rPr>
      </w:pPr>
    </w:p>
    <w:p w14:paraId="6DEDA393">
      <w:pPr>
        <w:jc w:val="center"/>
        <w:rPr>
          <w:rFonts w:eastAsia="黑体" w:cs="黑体"/>
          <w:sz w:val="52"/>
          <w:szCs w:val="52"/>
          <w:highlight w:val="none"/>
        </w:rPr>
      </w:pPr>
    </w:p>
    <w:p w14:paraId="5321450D">
      <w:pPr>
        <w:jc w:val="center"/>
        <w:rPr>
          <w:rFonts w:eastAsia="黑体" w:cs="黑体"/>
          <w:sz w:val="52"/>
          <w:szCs w:val="52"/>
          <w:highlight w:val="none"/>
        </w:rPr>
      </w:pPr>
    </w:p>
    <w:p w14:paraId="773568B5">
      <w:pPr>
        <w:jc w:val="center"/>
        <w:rPr>
          <w:rFonts w:eastAsia="黑体" w:cs="黑体"/>
          <w:sz w:val="52"/>
          <w:szCs w:val="52"/>
          <w:highlight w:val="none"/>
        </w:rPr>
      </w:pPr>
    </w:p>
    <w:p w14:paraId="5BCDA3C4">
      <w:pPr>
        <w:jc w:val="center"/>
        <w:rPr>
          <w:rFonts w:eastAsia="黑体" w:cs="黑体"/>
          <w:sz w:val="52"/>
          <w:szCs w:val="52"/>
          <w:highlight w:val="none"/>
        </w:rPr>
      </w:pPr>
    </w:p>
    <w:p w14:paraId="0B63D42D">
      <w:pPr>
        <w:jc w:val="center"/>
        <w:rPr>
          <w:rFonts w:eastAsia="黑体" w:cs="黑体"/>
          <w:sz w:val="52"/>
          <w:szCs w:val="52"/>
          <w:highlight w:val="none"/>
        </w:rPr>
      </w:pPr>
    </w:p>
    <w:p w14:paraId="46BE6910">
      <w:pPr>
        <w:jc w:val="center"/>
        <w:rPr>
          <w:rFonts w:eastAsia="黑体" w:cs="黑体"/>
          <w:sz w:val="52"/>
          <w:szCs w:val="52"/>
          <w:highlight w:val="none"/>
        </w:rPr>
      </w:pPr>
    </w:p>
    <w:p w14:paraId="1DF4E8AF">
      <w:pPr>
        <w:jc w:val="center"/>
        <w:rPr>
          <w:rFonts w:eastAsia="黑体" w:cs="黑体"/>
          <w:sz w:val="52"/>
          <w:szCs w:val="52"/>
          <w:highlight w:val="none"/>
        </w:rPr>
      </w:pPr>
    </w:p>
    <w:p w14:paraId="5B1F209F">
      <w:pPr>
        <w:jc w:val="center"/>
        <w:rPr>
          <w:rFonts w:eastAsia="黑体" w:cs="黑体"/>
          <w:sz w:val="52"/>
          <w:szCs w:val="52"/>
          <w:highlight w:val="none"/>
        </w:rPr>
      </w:pPr>
    </w:p>
    <w:p w14:paraId="6EEFA8F1">
      <w:pPr>
        <w:jc w:val="center"/>
        <w:rPr>
          <w:rFonts w:eastAsia="黑体" w:cs="黑体"/>
          <w:sz w:val="52"/>
          <w:szCs w:val="52"/>
          <w:highlight w:val="none"/>
        </w:rPr>
      </w:pPr>
    </w:p>
    <w:p w14:paraId="7368428D">
      <w:pPr>
        <w:jc w:val="center"/>
        <w:rPr>
          <w:rFonts w:eastAsia="黑体" w:cs="黑体"/>
          <w:sz w:val="52"/>
          <w:szCs w:val="52"/>
          <w:highlight w:val="none"/>
        </w:rPr>
      </w:pPr>
      <w:r>
        <w:rPr>
          <w:rFonts w:hint="eastAsia" w:eastAsia="黑体" w:cs="黑体"/>
          <w:sz w:val="52"/>
          <w:szCs w:val="52"/>
          <w:highlight w:val="none"/>
        </w:rPr>
        <w:t>第八章工程量清单计量规则</w:t>
      </w:r>
      <w:bookmarkEnd w:id="98"/>
      <w:bookmarkEnd w:id="99"/>
    </w:p>
    <w:p w14:paraId="0D645AB0">
      <w:pPr>
        <w:pStyle w:val="20"/>
        <w:rPr>
          <w:highlight w:val="none"/>
        </w:rPr>
      </w:pPr>
    </w:p>
    <w:p w14:paraId="53D4657A">
      <w:pPr>
        <w:adjustRightInd w:val="0"/>
        <w:snapToGrid w:val="0"/>
        <w:spacing w:line="300" w:lineRule="auto"/>
        <w:ind w:firstLine="422" w:firstLineChars="200"/>
        <w:rPr>
          <w:rFonts w:hint="eastAsia" w:ascii="宋体" w:hAnsi="宋体" w:cs="宋体"/>
          <w:b/>
          <w:bCs/>
          <w:highlight w:val="none"/>
          <w:u w:val="single"/>
        </w:rPr>
      </w:pPr>
    </w:p>
    <w:p w14:paraId="53629EF6">
      <w:pPr>
        <w:pStyle w:val="20"/>
        <w:rPr>
          <w:highlight w:val="none"/>
        </w:rPr>
        <w:sectPr>
          <w:headerReference r:id="rId9" w:type="default"/>
          <w:footerReference r:id="rId10" w:type="default"/>
          <w:type w:val="continuous"/>
          <w:pgSz w:w="11905" w:h="16838"/>
          <w:pgMar w:top="1077" w:right="1134" w:bottom="1077" w:left="1134" w:header="850" w:footer="992" w:gutter="0"/>
          <w:pgNumType w:fmt="decimal"/>
          <w:cols w:space="0" w:num="1"/>
          <w:docGrid w:linePitch="285" w:charSpace="0"/>
        </w:sectPr>
      </w:pPr>
    </w:p>
    <w:p w14:paraId="72A2ED62">
      <w:pPr>
        <w:pStyle w:val="2"/>
        <w:jc w:val="center"/>
        <w:rPr>
          <w:rFonts w:eastAsia="黑体" w:cs="黑体"/>
          <w:b w:val="0"/>
          <w:bCs w:val="0"/>
          <w:sz w:val="72"/>
          <w:szCs w:val="72"/>
          <w:highlight w:val="none"/>
        </w:rPr>
      </w:pPr>
      <w:bookmarkStart w:id="100" w:name="_Toc234744460"/>
      <w:bookmarkStart w:id="101" w:name="_Toc460366522"/>
    </w:p>
    <w:p w14:paraId="5361BB84">
      <w:pPr>
        <w:rPr>
          <w:highlight w:val="none"/>
        </w:rPr>
      </w:pPr>
    </w:p>
    <w:p w14:paraId="61BC9686">
      <w:pPr>
        <w:pStyle w:val="2"/>
        <w:jc w:val="center"/>
        <w:rPr>
          <w:rFonts w:eastAsia="黑体" w:cs="黑体"/>
          <w:b w:val="0"/>
          <w:bCs w:val="0"/>
          <w:sz w:val="72"/>
          <w:szCs w:val="72"/>
          <w:highlight w:val="none"/>
        </w:rPr>
      </w:pPr>
      <w:bookmarkStart w:id="102" w:name="_Toc19585"/>
    </w:p>
    <w:p w14:paraId="1FD3E00E">
      <w:pPr>
        <w:pStyle w:val="2"/>
        <w:jc w:val="center"/>
        <w:rPr>
          <w:rFonts w:eastAsia="黑体"/>
          <w:b w:val="0"/>
          <w:bCs w:val="0"/>
          <w:sz w:val="72"/>
          <w:szCs w:val="72"/>
          <w:highlight w:val="none"/>
        </w:rPr>
      </w:pPr>
      <w:r>
        <w:rPr>
          <w:rFonts w:hint="eastAsia" w:eastAsia="黑体" w:cs="黑体"/>
          <w:b w:val="0"/>
          <w:bCs w:val="0"/>
          <w:sz w:val="72"/>
          <w:szCs w:val="72"/>
          <w:highlight w:val="none"/>
        </w:rPr>
        <w:t>第四卷</w:t>
      </w:r>
      <w:bookmarkEnd w:id="100"/>
      <w:bookmarkEnd w:id="101"/>
      <w:bookmarkEnd w:id="102"/>
    </w:p>
    <w:p w14:paraId="2D4C60C7">
      <w:pPr>
        <w:spacing w:line="400" w:lineRule="exact"/>
        <w:rPr>
          <w:highlight w:val="none"/>
        </w:rPr>
        <w:sectPr>
          <w:headerReference r:id="rId11" w:type="default"/>
          <w:footerReference r:id="rId12" w:type="default"/>
          <w:type w:val="continuous"/>
          <w:pgSz w:w="11905" w:h="16838"/>
          <w:pgMar w:top="1077" w:right="1134" w:bottom="1077" w:left="1134" w:header="850" w:footer="992" w:gutter="0"/>
          <w:pgNumType w:fmt="decimal"/>
          <w:cols w:space="0" w:num="1"/>
          <w:docGrid w:linePitch="312" w:charSpace="0"/>
        </w:sectPr>
      </w:pPr>
    </w:p>
    <w:p w14:paraId="230F87F9">
      <w:pPr>
        <w:jc w:val="center"/>
        <w:rPr>
          <w:rFonts w:eastAsia="黑体" w:cs="黑体"/>
          <w:sz w:val="52"/>
          <w:szCs w:val="52"/>
          <w:highlight w:val="none"/>
        </w:rPr>
      </w:pPr>
      <w:bookmarkStart w:id="103" w:name="_Toc30445"/>
    </w:p>
    <w:p w14:paraId="62E2E8A1">
      <w:pPr>
        <w:jc w:val="center"/>
        <w:rPr>
          <w:rFonts w:eastAsia="黑体" w:cs="黑体"/>
          <w:sz w:val="52"/>
          <w:szCs w:val="52"/>
          <w:highlight w:val="none"/>
        </w:rPr>
      </w:pPr>
    </w:p>
    <w:p w14:paraId="677B733A">
      <w:pPr>
        <w:jc w:val="center"/>
        <w:rPr>
          <w:rFonts w:eastAsia="黑体" w:cs="黑体"/>
          <w:sz w:val="52"/>
          <w:szCs w:val="52"/>
          <w:highlight w:val="none"/>
        </w:rPr>
      </w:pPr>
    </w:p>
    <w:p w14:paraId="2F72A4C8">
      <w:pPr>
        <w:jc w:val="center"/>
        <w:rPr>
          <w:rFonts w:eastAsia="黑体" w:cs="黑体"/>
          <w:sz w:val="52"/>
          <w:szCs w:val="52"/>
          <w:highlight w:val="none"/>
        </w:rPr>
      </w:pPr>
    </w:p>
    <w:p w14:paraId="3C8140D9">
      <w:pPr>
        <w:jc w:val="center"/>
        <w:rPr>
          <w:rFonts w:eastAsia="黑体" w:cs="黑体"/>
          <w:sz w:val="52"/>
          <w:szCs w:val="52"/>
          <w:highlight w:val="none"/>
        </w:rPr>
      </w:pPr>
    </w:p>
    <w:p w14:paraId="30483492">
      <w:pPr>
        <w:jc w:val="center"/>
        <w:rPr>
          <w:rFonts w:eastAsia="黑体" w:cs="黑体"/>
          <w:sz w:val="52"/>
          <w:szCs w:val="52"/>
          <w:highlight w:val="none"/>
        </w:rPr>
      </w:pPr>
    </w:p>
    <w:p w14:paraId="2C01EE35">
      <w:pPr>
        <w:jc w:val="center"/>
        <w:rPr>
          <w:rFonts w:eastAsia="黑体" w:cs="黑体"/>
          <w:sz w:val="52"/>
          <w:szCs w:val="52"/>
          <w:highlight w:val="none"/>
        </w:rPr>
      </w:pPr>
    </w:p>
    <w:p w14:paraId="14747F65">
      <w:pPr>
        <w:jc w:val="center"/>
        <w:rPr>
          <w:rFonts w:eastAsia="黑体" w:cs="黑体"/>
          <w:sz w:val="52"/>
          <w:szCs w:val="52"/>
          <w:highlight w:val="none"/>
        </w:rPr>
      </w:pPr>
    </w:p>
    <w:p w14:paraId="7F465C66">
      <w:pPr>
        <w:jc w:val="center"/>
        <w:rPr>
          <w:rFonts w:eastAsia="黑体" w:cs="黑体"/>
          <w:sz w:val="52"/>
          <w:szCs w:val="52"/>
          <w:highlight w:val="none"/>
        </w:rPr>
      </w:pPr>
    </w:p>
    <w:p w14:paraId="65E76225">
      <w:pPr>
        <w:jc w:val="left"/>
        <w:rPr>
          <w:rFonts w:hint="eastAsia" w:eastAsia="黑体" w:cs="黑体"/>
          <w:sz w:val="52"/>
          <w:szCs w:val="52"/>
          <w:highlight w:val="none"/>
        </w:rPr>
      </w:pPr>
      <w:r>
        <w:rPr>
          <w:rFonts w:hint="eastAsia" w:eastAsia="黑体" w:cs="黑体"/>
          <w:sz w:val="52"/>
          <w:szCs w:val="52"/>
          <w:highlight w:val="none"/>
        </w:rPr>
        <w:br w:type="page"/>
      </w:r>
    </w:p>
    <w:p w14:paraId="4CB0AED3">
      <w:pPr>
        <w:jc w:val="center"/>
        <w:rPr>
          <w:rFonts w:eastAsia="黑体" w:cs="黑体"/>
          <w:sz w:val="52"/>
          <w:szCs w:val="52"/>
          <w:highlight w:val="none"/>
        </w:rPr>
      </w:pPr>
      <w:r>
        <w:rPr>
          <w:rFonts w:hint="eastAsia" w:eastAsia="黑体" w:cs="黑体"/>
          <w:sz w:val="52"/>
          <w:szCs w:val="52"/>
          <w:highlight w:val="none"/>
        </w:rPr>
        <w:t>第九章投标文件格式</w:t>
      </w:r>
      <w:bookmarkEnd w:id="103"/>
    </w:p>
    <w:p w14:paraId="2A10A7C9">
      <w:pPr>
        <w:pStyle w:val="20"/>
        <w:rPr>
          <w:highlight w:val="none"/>
        </w:rPr>
      </w:pPr>
    </w:p>
    <w:p w14:paraId="440DC8C4">
      <w:pPr>
        <w:jc w:val="left"/>
        <w:rPr>
          <w:rFonts w:cs="宋体"/>
          <w:b/>
          <w:bCs/>
          <w:sz w:val="32"/>
          <w:szCs w:val="32"/>
          <w:highlight w:val="none"/>
        </w:rPr>
      </w:pPr>
      <w:r>
        <w:rPr>
          <w:rFonts w:hint="eastAsia" w:cs="宋体"/>
          <w:b/>
          <w:bCs/>
          <w:sz w:val="32"/>
          <w:szCs w:val="32"/>
          <w:highlight w:val="none"/>
        </w:rPr>
        <w:br w:type="page"/>
      </w:r>
    </w:p>
    <w:p w14:paraId="18E904D9">
      <w:pPr>
        <w:spacing w:line="360" w:lineRule="auto"/>
        <w:rPr>
          <w:rFonts w:hint="eastAsia" w:ascii="宋体" w:hAnsi="宋体"/>
          <w:b/>
          <w:bCs/>
          <w:color w:val="auto"/>
          <w:sz w:val="32"/>
          <w:highlight w:val="none"/>
          <w:u w:val="single"/>
        </w:rPr>
      </w:pPr>
      <w:r>
        <w:rPr>
          <w:rFonts w:hint="eastAsia" w:ascii="宋体" w:hAnsi="宋体"/>
          <w:b/>
          <w:bCs/>
          <w:color w:val="auto"/>
          <w:sz w:val="32"/>
          <w:highlight w:val="none"/>
          <w:u w:val="single"/>
        </w:rPr>
        <w:t>（第一信封 商务文件格式）</w:t>
      </w:r>
    </w:p>
    <w:p w14:paraId="19C13AD8">
      <w:pPr>
        <w:tabs>
          <w:tab w:val="left" w:pos="3940"/>
        </w:tabs>
        <w:autoSpaceDE w:val="0"/>
        <w:autoSpaceDN w:val="0"/>
        <w:adjustRightInd w:val="0"/>
        <w:spacing w:line="340" w:lineRule="exact"/>
        <w:ind w:left="2672" w:right="-20"/>
        <w:jc w:val="left"/>
        <w:rPr>
          <w:rFonts w:ascii="宋体" w:hAnsi="宋体" w:cs="MingLiU"/>
          <w:color w:val="auto"/>
          <w:kern w:val="0"/>
          <w:sz w:val="10"/>
          <w:szCs w:val="10"/>
          <w:highlight w:val="none"/>
        </w:rPr>
      </w:pPr>
    </w:p>
    <w:p w14:paraId="60B2105F">
      <w:pPr>
        <w:autoSpaceDE w:val="0"/>
        <w:autoSpaceDN w:val="0"/>
        <w:adjustRightInd w:val="0"/>
        <w:snapToGrid w:val="0"/>
        <w:jc w:val="left"/>
        <w:rPr>
          <w:rFonts w:hint="eastAsia" w:ascii="宋体" w:hAnsi="宋体"/>
          <w:b/>
          <w:color w:val="auto"/>
          <w:kern w:val="0"/>
          <w:sz w:val="30"/>
          <w:szCs w:val="30"/>
          <w:highlight w:val="none"/>
        </w:rPr>
      </w:pPr>
      <w:r>
        <w:rPr>
          <w:rFonts w:hint="eastAsia" w:ascii="宋体" w:hAnsi="宋体"/>
          <w:b/>
          <w:color w:val="auto"/>
          <w:kern w:val="0"/>
          <w:sz w:val="30"/>
          <w:szCs w:val="30"/>
          <w:highlight w:val="none"/>
        </w:rPr>
        <w:t>封面格式</w:t>
      </w:r>
    </w:p>
    <w:p w14:paraId="56F4D207">
      <w:pPr>
        <w:autoSpaceDE w:val="0"/>
        <w:autoSpaceDN w:val="0"/>
        <w:adjustRightInd w:val="0"/>
        <w:spacing w:line="200" w:lineRule="exact"/>
        <w:jc w:val="left"/>
        <w:rPr>
          <w:rFonts w:hint="eastAsia" w:ascii="宋体" w:hAnsi="宋体"/>
          <w:color w:val="auto"/>
          <w:kern w:val="0"/>
          <w:sz w:val="20"/>
          <w:szCs w:val="20"/>
          <w:highlight w:val="none"/>
        </w:rPr>
      </w:pPr>
    </w:p>
    <w:p w14:paraId="6D3649CE">
      <w:pPr>
        <w:autoSpaceDE w:val="0"/>
        <w:autoSpaceDN w:val="0"/>
        <w:adjustRightInd w:val="0"/>
        <w:snapToGrid w:val="0"/>
        <w:spacing w:line="360" w:lineRule="auto"/>
        <w:jc w:val="center"/>
        <w:rPr>
          <w:rFonts w:hint="eastAsia" w:ascii="宋体" w:hAnsi="宋体" w:eastAsia="宋体" w:cs="MingLiU"/>
          <w:b/>
          <w:color w:val="auto"/>
          <w:w w:val="99"/>
          <w:kern w:val="0"/>
          <w:sz w:val="44"/>
          <w:szCs w:val="44"/>
          <w:highlight w:val="none"/>
          <w:lang w:eastAsia="zh-CN"/>
        </w:rPr>
      </w:pPr>
      <w:r>
        <w:rPr>
          <w:rFonts w:hint="eastAsia" w:ascii="宋体" w:hAnsi="宋体" w:cs="MingLiU"/>
          <w:b/>
          <w:color w:val="auto"/>
          <w:w w:val="99"/>
          <w:kern w:val="0"/>
          <w:sz w:val="44"/>
          <w:szCs w:val="44"/>
          <w:highlight w:val="none"/>
          <w:lang w:eastAsia="zh-CN"/>
        </w:rPr>
        <w:t>北新桥航标沿线护坡防塌加固工程</w:t>
      </w:r>
    </w:p>
    <w:p w14:paraId="330B8236">
      <w:pPr>
        <w:autoSpaceDE w:val="0"/>
        <w:autoSpaceDN w:val="0"/>
        <w:adjustRightInd w:val="0"/>
        <w:spacing w:before="15" w:line="240" w:lineRule="exact"/>
        <w:jc w:val="left"/>
        <w:rPr>
          <w:rFonts w:hint="eastAsia" w:ascii="宋体" w:hAnsi="宋体" w:cs="MingLiU"/>
          <w:color w:val="auto"/>
          <w:kern w:val="0"/>
          <w:sz w:val="24"/>
          <w:highlight w:val="none"/>
        </w:rPr>
      </w:pPr>
    </w:p>
    <w:p w14:paraId="0B47EECF">
      <w:pPr>
        <w:autoSpaceDE w:val="0"/>
        <w:autoSpaceDN w:val="0"/>
        <w:adjustRightInd w:val="0"/>
        <w:spacing w:before="15" w:line="240" w:lineRule="exact"/>
        <w:jc w:val="left"/>
        <w:rPr>
          <w:rFonts w:hint="eastAsia" w:ascii="宋体" w:hAnsi="宋体" w:cs="MingLiU"/>
          <w:color w:val="auto"/>
          <w:kern w:val="0"/>
          <w:sz w:val="24"/>
          <w:highlight w:val="none"/>
        </w:rPr>
      </w:pPr>
    </w:p>
    <w:p w14:paraId="577923A7">
      <w:pPr>
        <w:autoSpaceDE w:val="0"/>
        <w:autoSpaceDN w:val="0"/>
        <w:adjustRightInd w:val="0"/>
        <w:spacing w:before="15" w:line="240" w:lineRule="exact"/>
        <w:jc w:val="left"/>
        <w:rPr>
          <w:rFonts w:hint="eastAsia" w:ascii="宋体" w:hAnsi="宋体" w:cs="MingLiU"/>
          <w:color w:val="auto"/>
          <w:kern w:val="0"/>
          <w:sz w:val="24"/>
          <w:highlight w:val="none"/>
        </w:rPr>
      </w:pPr>
    </w:p>
    <w:p w14:paraId="40EDE4FF">
      <w:pPr>
        <w:autoSpaceDE w:val="0"/>
        <w:autoSpaceDN w:val="0"/>
        <w:adjustRightInd w:val="0"/>
        <w:spacing w:before="15" w:line="240" w:lineRule="exact"/>
        <w:jc w:val="left"/>
        <w:rPr>
          <w:rFonts w:hint="eastAsia" w:ascii="宋体" w:hAnsi="宋体" w:cs="MingLiU"/>
          <w:color w:val="auto"/>
          <w:kern w:val="0"/>
          <w:sz w:val="24"/>
          <w:highlight w:val="none"/>
        </w:rPr>
      </w:pPr>
    </w:p>
    <w:p w14:paraId="77E6E895">
      <w:pPr>
        <w:autoSpaceDE w:val="0"/>
        <w:autoSpaceDN w:val="0"/>
        <w:adjustRightInd w:val="0"/>
        <w:spacing w:before="15" w:line="240" w:lineRule="exact"/>
        <w:jc w:val="left"/>
        <w:rPr>
          <w:rFonts w:hint="eastAsia" w:ascii="宋体" w:hAnsi="宋体" w:cs="MingLiU"/>
          <w:color w:val="auto"/>
          <w:kern w:val="0"/>
          <w:sz w:val="24"/>
          <w:highlight w:val="none"/>
        </w:rPr>
      </w:pPr>
    </w:p>
    <w:p w14:paraId="25900247">
      <w:pPr>
        <w:autoSpaceDE w:val="0"/>
        <w:autoSpaceDN w:val="0"/>
        <w:adjustRightInd w:val="0"/>
        <w:spacing w:before="15" w:line="240" w:lineRule="exact"/>
        <w:jc w:val="left"/>
        <w:rPr>
          <w:rFonts w:hint="eastAsia" w:ascii="宋体" w:hAnsi="宋体" w:cs="MingLiU"/>
          <w:color w:val="auto"/>
          <w:kern w:val="0"/>
          <w:sz w:val="24"/>
          <w:highlight w:val="none"/>
        </w:rPr>
      </w:pPr>
    </w:p>
    <w:p w14:paraId="3B11BC0B">
      <w:pPr>
        <w:autoSpaceDE w:val="0"/>
        <w:autoSpaceDN w:val="0"/>
        <w:adjustRightInd w:val="0"/>
        <w:spacing w:before="15" w:line="240" w:lineRule="exact"/>
        <w:jc w:val="left"/>
        <w:rPr>
          <w:rFonts w:hint="eastAsia" w:ascii="宋体" w:hAnsi="宋体" w:cs="MingLiU"/>
          <w:color w:val="auto"/>
          <w:kern w:val="0"/>
          <w:sz w:val="24"/>
          <w:highlight w:val="none"/>
        </w:rPr>
      </w:pPr>
    </w:p>
    <w:p w14:paraId="103301E4">
      <w:pPr>
        <w:autoSpaceDE w:val="0"/>
        <w:autoSpaceDN w:val="0"/>
        <w:adjustRightInd w:val="0"/>
        <w:spacing w:before="15" w:line="240" w:lineRule="exact"/>
        <w:jc w:val="left"/>
        <w:rPr>
          <w:rFonts w:hint="eastAsia" w:ascii="宋体" w:hAnsi="宋体" w:cs="MingLiU"/>
          <w:color w:val="auto"/>
          <w:kern w:val="0"/>
          <w:sz w:val="24"/>
          <w:highlight w:val="none"/>
        </w:rPr>
      </w:pPr>
    </w:p>
    <w:p w14:paraId="56A6031D">
      <w:pPr>
        <w:autoSpaceDE w:val="0"/>
        <w:autoSpaceDN w:val="0"/>
        <w:adjustRightInd w:val="0"/>
        <w:spacing w:before="15" w:line="240" w:lineRule="exact"/>
        <w:jc w:val="left"/>
        <w:rPr>
          <w:rFonts w:hint="eastAsia" w:ascii="宋体" w:hAnsi="宋体" w:cs="MingLiU"/>
          <w:color w:val="auto"/>
          <w:kern w:val="0"/>
          <w:sz w:val="24"/>
          <w:highlight w:val="none"/>
        </w:rPr>
      </w:pPr>
    </w:p>
    <w:p w14:paraId="2C910BC9">
      <w:pPr>
        <w:tabs>
          <w:tab w:val="left" w:pos="3600"/>
          <w:tab w:val="left" w:pos="4480"/>
          <w:tab w:val="left" w:pos="5360"/>
        </w:tabs>
        <w:autoSpaceDE w:val="0"/>
        <w:autoSpaceDN w:val="0"/>
        <w:adjustRightInd w:val="0"/>
        <w:ind w:left="142" w:right="-20"/>
        <w:jc w:val="center"/>
        <w:rPr>
          <w:rFonts w:hint="eastAsia" w:ascii="宋体" w:hAnsi="宋体" w:cs="MingLiU"/>
          <w:b/>
          <w:color w:val="auto"/>
          <w:kern w:val="0"/>
          <w:sz w:val="96"/>
          <w:szCs w:val="72"/>
          <w:highlight w:val="none"/>
        </w:rPr>
      </w:pPr>
      <w:r>
        <w:rPr>
          <w:rFonts w:hint="eastAsia" w:ascii="宋体" w:hAnsi="宋体" w:cs="MingLiU"/>
          <w:b/>
          <w:color w:val="auto"/>
          <w:kern w:val="0"/>
          <w:sz w:val="96"/>
          <w:szCs w:val="72"/>
          <w:highlight w:val="none"/>
        </w:rPr>
        <w:t>投标文件</w:t>
      </w:r>
    </w:p>
    <w:p w14:paraId="139C764A">
      <w:pPr>
        <w:pStyle w:val="4"/>
        <w:snapToGrid w:val="0"/>
        <w:spacing w:before="0" w:after="0" w:line="360" w:lineRule="auto"/>
        <w:jc w:val="center"/>
        <w:rPr>
          <w:rFonts w:hint="eastAsia" w:ascii="宋体" w:hAnsi="宋体"/>
          <w:color w:val="auto"/>
          <w:w w:val="99"/>
          <w:kern w:val="0"/>
          <w:highlight w:val="none"/>
        </w:rPr>
      </w:pPr>
      <w:bookmarkStart w:id="104" w:name="_Toc399835165"/>
      <w:bookmarkStart w:id="105" w:name="_Toc401319703"/>
      <w:bookmarkStart w:id="106" w:name="_Toc287272876"/>
      <w:bookmarkStart w:id="107" w:name="_Toc271904330"/>
      <w:bookmarkStart w:id="108" w:name="_Toc399835241"/>
      <w:bookmarkStart w:id="109" w:name="_Toc348945929"/>
      <w:bookmarkStart w:id="110" w:name="_Toc4102"/>
    </w:p>
    <w:p w14:paraId="0770AEE3">
      <w:pPr>
        <w:pStyle w:val="4"/>
        <w:snapToGrid w:val="0"/>
        <w:spacing w:before="0" w:after="0" w:line="360" w:lineRule="auto"/>
        <w:jc w:val="center"/>
        <w:rPr>
          <w:rFonts w:ascii="宋体" w:hAnsi="宋体"/>
          <w:color w:val="auto"/>
          <w:w w:val="99"/>
          <w:kern w:val="0"/>
          <w:highlight w:val="none"/>
        </w:rPr>
      </w:pPr>
      <w:r>
        <w:rPr>
          <w:rFonts w:hint="eastAsia" w:ascii="宋体" w:hAnsi="宋体"/>
          <w:color w:val="auto"/>
          <w:w w:val="99"/>
          <w:kern w:val="0"/>
          <w:highlight w:val="none"/>
        </w:rPr>
        <w:t>第一信封  商务文件</w:t>
      </w:r>
      <w:bookmarkEnd w:id="104"/>
      <w:bookmarkEnd w:id="105"/>
      <w:bookmarkEnd w:id="106"/>
      <w:bookmarkEnd w:id="107"/>
      <w:bookmarkEnd w:id="108"/>
      <w:bookmarkEnd w:id="109"/>
      <w:bookmarkEnd w:id="110"/>
    </w:p>
    <w:p w14:paraId="03D8C105">
      <w:pPr>
        <w:autoSpaceDE w:val="0"/>
        <w:autoSpaceDN w:val="0"/>
        <w:adjustRightInd w:val="0"/>
        <w:spacing w:before="15" w:line="240" w:lineRule="exact"/>
        <w:jc w:val="left"/>
        <w:rPr>
          <w:rFonts w:hint="eastAsia" w:ascii="宋体" w:hAnsi="宋体" w:cs="MingLiU"/>
          <w:color w:val="auto"/>
          <w:kern w:val="0"/>
          <w:sz w:val="24"/>
          <w:highlight w:val="none"/>
        </w:rPr>
      </w:pPr>
    </w:p>
    <w:p w14:paraId="67751A22">
      <w:pPr>
        <w:autoSpaceDE w:val="0"/>
        <w:autoSpaceDN w:val="0"/>
        <w:adjustRightInd w:val="0"/>
        <w:spacing w:before="15" w:line="240" w:lineRule="exact"/>
        <w:jc w:val="left"/>
        <w:rPr>
          <w:rFonts w:hint="eastAsia" w:ascii="宋体" w:hAnsi="宋体" w:cs="MingLiU"/>
          <w:color w:val="auto"/>
          <w:kern w:val="0"/>
          <w:sz w:val="24"/>
          <w:highlight w:val="none"/>
        </w:rPr>
      </w:pPr>
    </w:p>
    <w:p w14:paraId="24A0480A">
      <w:pPr>
        <w:autoSpaceDE w:val="0"/>
        <w:autoSpaceDN w:val="0"/>
        <w:adjustRightInd w:val="0"/>
        <w:spacing w:before="15" w:line="240" w:lineRule="exact"/>
        <w:jc w:val="left"/>
        <w:rPr>
          <w:rFonts w:hint="eastAsia" w:ascii="宋体" w:hAnsi="宋体" w:cs="MingLiU"/>
          <w:color w:val="auto"/>
          <w:kern w:val="0"/>
          <w:sz w:val="24"/>
          <w:highlight w:val="none"/>
        </w:rPr>
      </w:pPr>
    </w:p>
    <w:p w14:paraId="631354A0">
      <w:pPr>
        <w:autoSpaceDE w:val="0"/>
        <w:autoSpaceDN w:val="0"/>
        <w:adjustRightInd w:val="0"/>
        <w:spacing w:line="200" w:lineRule="exact"/>
        <w:jc w:val="left"/>
        <w:rPr>
          <w:rFonts w:ascii="宋体" w:hAnsi="宋体" w:cs="MingLiU"/>
          <w:color w:val="auto"/>
          <w:kern w:val="0"/>
          <w:sz w:val="20"/>
          <w:szCs w:val="20"/>
          <w:highlight w:val="none"/>
        </w:rPr>
      </w:pPr>
    </w:p>
    <w:p w14:paraId="589579DC">
      <w:pPr>
        <w:autoSpaceDE w:val="0"/>
        <w:autoSpaceDN w:val="0"/>
        <w:adjustRightInd w:val="0"/>
        <w:spacing w:before="15" w:line="240" w:lineRule="exact"/>
        <w:jc w:val="left"/>
        <w:rPr>
          <w:rFonts w:hint="eastAsia" w:ascii="宋体" w:hAnsi="宋体" w:cs="MingLiU"/>
          <w:color w:val="auto"/>
          <w:kern w:val="0"/>
          <w:sz w:val="24"/>
          <w:highlight w:val="none"/>
        </w:rPr>
      </w:pPr>
    </w:p>
    <w:p w14:paraId="15F671FA">
      <w:pPr>
        <w:autoSpaceDE w:val="0"/>
        <w:autoSpaceDN w:val="0"/>
        <w:adjustRightInd w:val="0"/>
        <w:spacing w:before="15" w:line="240" w:lineRule="exact"/>
        <w:jc w:val="left"/>
        <w:rPr>
          <w:rFonts w:hint="eastAsia" w:ascii="宋体" w:hAnsi="宋体" w:cs="MingLiU"/>
          <w:color w:val="auto"/>
          <w:kern w:val="0"/>
          <w:sz w:val="24"/>
          <w:highlight w:val="none"/>
        </w:rPr>
      </w:pPr>
    </w:p>
    <w:p w14:paraId="583EA599">
      <w:pPr>
        <w:autoSpaceDE w:val="0"/>
        <w:autoSpaceDN w:val="0"/>
        <w:adjustRightInd w:val="0"/>
        <w:spacing w:line="200" w:lineRule="exact"/>
        <w:jc w:val="left"/>
        <w:rPr>
          <w:rFonts w:ascii="宋体" w:hAnsi="宋体" w:cs="MingLiU"/>
          <w:color w:val="auto"/>
          <w:kern w:val="0"/>
          <w:sz w:val="20"/>
          <w:szCs w:val="20"/>
          <w:highlight w:val="none"/>
        </w:rPr>
      </w:pPr>
    </w:p>
    <w:p w14:paraId="215F3906">
      <w:pPr>
        <w:autoSpaceDE w:val="0"/>
        <w:autoSpaceDN w:val="0"/>
        <w:adjustRightInd w:val="0"/>
        <w:spacing w:line="200" w:lineRule="exact"/>
        <w:jc w:val="left"/>
        <w:rPr>
          <w:rFonts w:ascii="宋体" w:hAnsi="宋体" w:cs="MingLiU"/>
          <w:color w:val="auto"/>
          <w:kern w:val="0"/>
          <w:sz w:val="20"/>
          <w:szCs w:val="20"/>
          <w:highlight w:val="none"/>
        </w:rPr>
      </w:pPr>
    </w:p>
    <w:p w14:paraId="4FB03536">
      <w:pPr>
        <w:autoSpaceDE w:val="0"/>
        <w:autoSpaceDN w:val="0"/>
        <w:adjustRightInd w:val="0"/>
        <w:spacing w:line="200" w:lineRule="exact"/>
        <w:jc w:val="left"/>
        <w:rPr>
          <w:rFonts w:ascii="宋体" w:hAnsi="宋体" w:cs="MingLiU"/>
          <w:color w:val="auto"/>
          <w:kern w:val="0"/>
          <w:sz w:val="20"/>
          <w:szCs w:val="20"/>
          <w:highlight w:val="none"/>
        </w:rPr>
      </w:pPr>
    </w:p>
    <w:p w14:paraId="5705F1C8">
      <w:pPr>
        <w:autoSpaceDE w:val="0"/>
        <w:autoSpaceDN w:val="0"/>
        <w:adjustRightInd w:val="0"/>
        <w:spacing w:line="200" w:lineRule="exact"/>
        <w:jc w:val="left"/>
        <w:rPr>
          <w:rFonts w:ascii="宋体" w:hAnsi="宋体" w:cs="MingLiU"/>
          <w:color w:val="auto"/>
          <w:kern w:val="0"/>
          <w:sz w:val="20"/>
          <w:szCs w:val="20"/>
          <w:highlight w:val="none"/>
        </w:rPr>
      </w:pPr>
    </w:p>
    <w:p w14:paraId="0261F942">
      <w:pPr>
        <w:autoSpaceDE w:val="0"/>
        <w:autoSpaceDN w:val="0"/>
        <w:adjustRightInd w:val="0"/>
        <w:spacing w:line="200" w:lineRule="exact"/>
        <w:jc w:val="left"/>
        <w:rPr>
          <w:rFonts w:ascii="宋体" w:hAnsi="宋体" w:cs="MingLiU"/>
          <w:color w:val="auto"/>
          <w:kern w:val="0"/>
          <w:sz w:val="20"/>
          <w:szCs w:val="20"/>
          <w:highlight w:val="none"/>
        </w:rPr>
      </w:pPr>
    </w:p>
    <w:p w14:paraId="70E817F4">
      <w:pPr>
        <w:autoSpaceDE w:val="0"/>
        <w:autoSpaceDN w:val="0"/>
        <w:adjustRightInd w:val="0"/>
        <w:spacing w:line="200" w:lineRule="exact"/>
        <w:jc w:val="left"/>
        <w:rPr>
          <w:rFonts w:ascii="宋体" w:hAnsi="宋体" w:cs="MingLiU"/>
          <w:color w:val="auto"/>
          <w:kern w:val="0"/>
          <w:sz w:val="20"/>
          <w:szCs w:val="20"/>
          <w:highlight w:val="none"/>
        </w:rPr>
      </w:pPr>
    </w:p>
    <w:p w14:paraId="37BD2962">
      <w:pPr>
        <w:autoSpaceDE w:val="0"/>
        <w:autoSpaceDN w:val="0"/>
        <w:adjustRightInd w:val="0"/>
        <w:spacing w:line="200" w:lineRule="exact"/>
        <w:jc w:val="left"/>
        <w:rPr>
          <w:rFonts w:ascii="宋体" w:hAnsi="宋体" w:cs="MingLiU"/>
          <w:color w:val="auto"/>
          <w:kern w:val="0"/>
          <w:sz w:val="20"/>
          <w:szCs w:val="20"/>
          <w:highlight w:val="none"/>
        </w:rPr>
      </w:pPr>
    </w:p>
    <w:p w14:paraId="49C8CFDB">
      <w:pPr>
        <w:autoSpaceDE w:val="0"/>
        <w:autoSpaceDN w:val="0"/>
        <w:adjustRightInd w:val="0"/>
        <w:spacing w:line="200" w:lineRule="exact"/>
        <w:jc w:val="left"/>
        <w:rPr>
          <w:rFonts w:ascii="宋体" w:hAnsi="宋体" w:cs="MingLiU"/>
          <w:color w:val="auto"/>
          <w:kern w:val="0"/>
          <w:sz w:val="20"/>
          <w:szCs w:val="20"/>
          <w:highlight w:val="none"/>
        </w:rPr>
      </w:pPr>
    </w:p>
    <w:p w14:paraId="62CBFADF">
      <w:pPr>
        <w:autoSpaceDE w:val="0"/>
        <w:autoSpaceDN w:val="0"/>
        <w:adjustRightInd w:val="0"/>
        <w:spacing w:line="200" w:lineRule="exact"/>
        <w:jc w:val="left"/>
        <w:rPr>
          <w:rFonts w:ascii="宋体" w:hAnsi="宋体" w:cs="MingLiU"/>
          <w:color w:val="auto"/>
          <w:kern w:val="0"/>
          <w:sz w:val="20"/>
          <w:szCs w:val="20"/>
          <w:highlight w:val="none"/>
        </w:rPr>
      </w:pPr>
    </w:p>
    <w:p w14:paraId="5152C2AB">
      <w:pPr>
        <w:autoSpaceDE w:val="0"/>
        <w:autoSpaceDN w:val="0"/>
        <w:adjustRightInd w:val="0"/>
        <w:spacing w:line="200" w:lineRule="exact"/>
        <w:jc w:val="left"/>
        <w:rPr>
          <w:rFonts w:ascii="宋体" w:hAnsi="宋体" w:cs="MingLiU"/>
          <w:color w:val="auto"/>
          <w:kern w:val="0"/>
          <w:sz w:val="20"/>
          <w:szCs w:val="20"/>
          <w:highlight w:val="none"/>
        </w:rPr>
      </w:pPr>
    </w:p>
    <w:p w14:paraId="365DE316">
      <w:pPr>
        <w:autoSpaceDE w:val="0"/>
        <w:autoSpaceDN w:val="0"/>
        <w:adjustRightInd w:val="0"/>
        <w:spacing w:line="200" w:lineRule="exact"/>
        <w:jc w:val="left"/>
        <w:rPr>
          <w:rFonts w:ascii="宋体" w:hAnsi="宋体" w:cs="MingLiU"/>
          <w:color w:val="auto"/>
          <w:kern w:val="0"/>
          <w:sz w:val="20"/>
          <w:szCs w:val="20"/>
          <w:highlight w:val="none"/>
        </w:rPr>
      </w:pPr>
    </w:p>
    <w:p w14:paraId="742BF590">
      <w:pPr>
        <w:tabs>
          <w:tab w:val="left" w:pos="6080"/>
          <w:tab w:val="left" w:pos="6640"/>
        </w:tabs>
        <w:autoSpaceDE w:val="0"/>
        <w:autoSpaceDN w:val="0"/>
        <w:adjustRightInd w:val="0"/>
        <w:spacing w:line="402" w:lineRule="auto"/>
        <w:ind w:right="403"/>
        <w:jc w:val="left"/>
        <w:rPr>
          <w:rFonts w:hint="eastAsia" w:ascii="宋体" w:hAnsi="宋体"/>
          <w:color w:val="auto"/>
          <w:w w:val="99"/>
          <w:kern w:val="0"/>
          <w:sz w:val="28"/>
          <w:szCs w:val="28"/>
          <w:highlight w:val="none"/>
        </w:rPr>
      </w:pPr>
      <w:r>
        <w:rPr>
          <w:rFonts w:hint="eastAsia" w:ascii="宋体" w:hAnsi="宋体" w:cs="MingLiU"/>
          <w:color w:val="auto"/>
          <w:w w:val="99"/>
          <w:kern w:val="0"/>
          <w:sz w:val="28"/>
          <w:szCs w:val="28"/>
          <w:highlight w:val="none"/>
        </w:rPr>
        <w:t>投标人</w:t>
      </w:r>
      <w:r>
        <w:rPr>
          <w:rFonts w:hint="eastAsia" w:ascii="宋体" w:hAnsi="宋体" w:cs="MingLiU"/>
          <w:color w:val="auto"/>
          <w:spacing w:val="1"/>
          <w:w w:val="99"/>
          <w:kern w:val="0"/>
          <w:sz w:val="28"/>
          <w:szCs w:val="28"/>
          <w:highlight w:val="none"/>
        </w:rPr>
        <w:t>：</w:t>
      </w:r>
      <w:r>
        <w:rPr>
          <w:rFonts w:ascii="宋体" w:hAnsi="宋体" w:cs="MingLiU"/>
          <w:color w:val="auto"/>
          <w:w w:val="198"/>
          <w:kern w:val="0"/>
          <w:sz w:val="28"/>
          <w:szCs w:val="28"/>
          <w:highlight w:val="none"/>
          <w:u w:val="single"/>
        </w:rPr>
        <w:t xml:space="preserve"> </w:t>
      </w:r>
      <w:r>
        <w:rPr>
          <w:rFonts w:ascii="宋体" w:hAnsi="宋体"/>
          <w:color w:val="auto"/>
          <w:kern w:val="0"/>
          <w:sz w:val="28"/>
          <w:szCs w:val="28"/>
          <w:highlight w:val="none"/>
          <w:u w:val="single"/>
        </w:rPr>
        <w:tab/>
      </w:r>
      <w:r>
        <w:rPr>
          <w:rFonts w:hint="eastAsia" w:ascii="宋体" w:hAnsi="宋体"/>
          <w:color w:val="auto"/>
          <w:kern w:val="0"/>
          <w:sz w:val="28"/>
          <w:szCs w:val="28"/>
          <w:highlight w:val="none"/>
        </w:rPr>
        <w:t>（盖单位章）</w:t>
      </w:r>
    </w:p>
    <w:p w14:paraId="7474949E">
      <w:pPr>
        <w:tabs>
          <w:tab w:val="left" w:pos="6080"/>
          <w:tab w:val="left" w:pos="6640"/>
        </w:tabs>
        <w:autoSpaceDE w:val="0"/>
        <w:autoSpaceDN w:val="0"/>
        <w:adjustRightInd w:val="0"/>
        <w:spacing w:line="402" w:lineRule="auto"/>
        <w:ind w:right="-58"/>
        <w:jc w:val="left"/>
        <w:rPr>
          <w:rFonts w:hint="eastAsia" w:ascii="宋体" w:hAnsi="宋体"/>
          <w:color w:val="auto"/>
          <w:w w:val="99"/>
          <w:kern w:val="0"/>
          <w:sz w:val="28"/>
          <w:szCs w:val="28"/>
          <w:highlight w:val="none"/>
        </w:rPr>
      </w:pPr>
      <w:r>
        <w:rPr>
          <w:rFonts w:hint="eastAsia" w:ascii="宋体" w:hAnsi="宋体"/>
          <w:color w:val="auto"/>
          <w:kern w:val="0"/>
          <w:sz w:val="28"/>
          <w:szCs w:val="28"/>
          <w:highlight w:val="none"/>
        </w:rPr>
        <w:t>法定</w:t>
      </w:r>
      <w:r>
        <w:rPr>
          <w:rFonts w:hint="eastAsia" w:ascii="宋体" w:hAnsi="宋体" w:cs="MingLiU"/>
          <w:color w:val="auto"/>
          <w:w w:val="99"/>
          <w:kern w:val="0"/>
          <w:sz w:val="28"/>
          <w:szCs w:val="28"/>
          <w:highlight w:val="none"/>
        </w:rPr>
        <w:t>代表</w:t>
      </w:r>
      <w:r>
        <w:rPr>
          <w:rFonts w:hint="eastAsia" w:ascii="宋体" w:hAnsi="宋体"/>
          <w:color w:val="auto"/>
          <w:kern w:val="0"/>
          <w:sz w:val="28"/>
          <w:szCs w:val="28"/>
          <w:highlight w:val="none"/>
        </w:rPr>
        <w:t>人或其委托代理人：</w:t>
      </w:r>
      <w:r>
        <w:rPr>
          <w:rFonts w:hint="eastAsia" w:ascii="宋体" w:hAnsi="宋体"/>
          <w:color w:val="auto"/>
          <w:kern w:val="0"/>
          <w:sz w:val="28"/>
          <w:szCs w:val="28"/>
          <w:highlight w:val="none"/>
          <w:u w:val="single"/>
        </w:rPr>
        <w:t xml:space="preserve">            </w:t>
      </w:r>
      <w:r>
        <w:rPr>
          <w:rFonts w:hint="eastAsia" w:ascii="宋体" w:hAnsi="宋体"/>
          <w:color w:val="auto"/>
          <w:kern w:val="0"/>
          <w:sz w:val="28"/>
          <w:szCs w:val="28"/>
          <w:highlight w:val="none"/>
        </w:rPr>
        <w:t>（签字或盖章）</w:t>
      </w:r>
    </w:p>
    <w:p w14:paraId="4AE9777F">
      <w:pPr>
        <w:autoSpaceDE w:val="0"/>
        <w:autoSpaceDN w:val="0"/>
        <w:adjustRightInd w:val="0"/>
        <w:snapToGrid w:val="0"/>
        <w:ind w:firstLine="3163" w:firstLineChars="1142"/>
        <w:rPr>
          <w:rFonts w:hint="eastAsia" w:ascii="宋体" w:hAnsi="宋体" w:cs="MingLiU"/>
          <w:color w:val="auto"/>
          <w:w w:val="99"/>
          <w:kern w:val="0"/>
          <w:sz w:val="28"/>
          <w:szCs w:val="28"/>
          <w:highlight w:val="none"/>
        </w:rPr>
      </w:pPr>
      <w:r>
        <w:rPr>
          <w:rFonts w:hint="eastAsia" w:ascii="宋体" w:hAnsi="宋体" w:cs="MingLiU"/>
          <w:color w:val="auto"/>
          <w:w w:val="99"/>
          <w:kern w:val="0"/>
          <w:sz w:val="28"/>
          <w:szCs w:val="28"/>
          <w:highlight w:val="none"/>
          <w:u w:val="single"/>
        </w:rPr>
        <w:t xml:space="preserve">     </w:t>
      </w:r>
      <w:r>
        <w:rPr>
          <w:rFonts w:hint="eastAsia" w:ascii="宋体" w:hAnsi="宋体" w:cs="MingLiU"/>
          <w:color w:val="auto"/>
          <w:w w:val="99"/>
          <w:kern w:val="0"/>
          <w:sz w:val="28"/>
          <w:szCs w:val="28"/>
          <w:highlight w:val="none"/>
        </w:rPr>
        <w:t>年</w:t>
      </w:r>
      <w:r>
        <w:rPr>
          <w:rFonts w:hint="eastAsia" w:ascii="宋体" w:hAnsi="宋体" w:cs="MingLiU"/>
          <w:color w:val="auto"/>
          <w:w w:val="99"/>
          <w:kern w:val="0"/>
          <w:sz w:val="28"/>
          <w:szCs w:val="28"/>
          <w:highlight w:val="none"/>
          <w:u w:val="single"/>
        </w:rPr>
        <w:t xml:space="preserve">     </w:t>
      </w:r>
      <w:r>
        <w:rPr>
          <w:rFonts w:hint="eastAsia" w:ascii="宋体" w:hAnsi="宋体" w:cs="MingLiU"/>
          <w:color w:val="auto"/>
          <w:w w:val="99"/>
          <w:kern w:val="0"/>
          <w:sz w:val="28"/>
          <w:szCs w:val="28"/>
          <w:highlight w:val="none"/>
        </w:rPr>
        <w:t>月</w:t>
      </w:r>
      <w:r>
        <w:rPr>
          <w:rFonts w:hint="eastAsia" w:ascii="宋体" w:hAnsi="宋体" w:cs="MingLiU"/>
          <w:color w:val="auto"/>
          <w:w w:val="99"/>
          <w:kern w:val="0"/>
          <w:sz w:val="28"/>
          <w:szCs w:val="28"/>
          <w:highlight w:val="none"/>
          <w:u w:val="single"/>
        </w:rPr>
        <w:t xml:space="preserve">     </w:t>
      </w:r>
      <w:r>
        <w:rPr>
          <w:rFonts w:hint="eastAsia" w:ascii="宋体" w:hAnsi="宋体" w:cs="MingLiU"/>
          <w:color w:val="auto"/>
          <w:w w:val="99"/>
          <w:kern w:val="0"/>
          <w:sz w:val="28"/>
          <w:szCs w:val="28"/>
          <w:highlight w:val="none"/>
        </w:rPr>
        <w:t>日</w:t>
      </w:r>
    </w:p>
    <w:p w14:paraId="7D2141C7">
      <w:pPr>
        <w:rPr>
          <w:rFonts w:hint="eastAsia"/>
          <w:sz w:val="32"/>
          <w:szCs w:val="32"/>
          <w:highlight w:val="none"/>
        </w:rPr>
      </w:pPr>
      <w:r>
        <w:rPr>
          <w:rFonts w:hint="eastAsia"/>
          <w:sz w:val="32"/>
          <w:szCs w:val="32"/>
          <w:highlight w:val="none"/>
        </w:rPr>
        <w:br w:type="page"/>
      </w:r>
    </w:p>
    <w:p w14:paraId="262F9A15">
      <w:pPr>
        <w:spacing w:before="25"/>
        <w:ind w:right="139"/>
        <w:jc w:val="center"/>
        <w:rPr>
          <w:sz w:val="32"/>
          <w:szCs w:val="32"/>
          <w:highlight w:val="none"/>
        </w:rPr>
      </w:pPr>
      <w:r>
        <w:rPr>
          <w:rFonts w:hint="eastAsia"/>
          <w:sz w:val="32"/>
          <w:szCs w:val="32"/>
          <w:highlight w:val="none"/>
        </w:rPr>
        <w:t>一、</w:t>
      </w:r>
      <w:r>
        <w:rPr>
          <w:sz w:val="32"/>
          <w:szCs w:val="32"/>
          <w:highlight w:val="none"/>
        </w:rPr>
        <w:t>投标函</w:t>
      </w:r>
    </w:p>
    <w:p w14:paraId="231BEC35">
      <w:pPr>
        <w:pStyle w:val="20"/>
        <w:rPr>
          <w:sz w:val="20"/>
          <w:highlight w:val="none"/>
        </w:rPr>
      </w:pPr>
    </w:p>
    <w:p w14:paraId="3A4CD696">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（招标人名称）： </w:t>
      </w:r>
    </w:p>
    <w:p w14:paraId="7E57F380">
      <w:pPr>
        <w:pStyle w:val="20"/>
        <w:snapToGrid w:val="0"/>
        <w:spacing w:after="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1.我方在仔细研究了</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 xml:space="preserve">（项目名称）工程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标段施工招标文件的全部内容（含补遗书第号至第号），在考察工程现场后，愿意以第二个信封（报价文件）中的投标总报价，按合同约定实施和完成承包工程，修补工程中的任何缺陷。</w:t>
      </w:r>
    </w:p>
    <w:p w14:paraId="7162AAF1">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2.我方承诺在投标有效期内不修改、撤销本投标文件。</w:t>
      </w:r>
    </w:p>
    <w:p w14:paraId="154A7E1C">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3.工程质量：</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，安全目标：</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，工期：</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301040EB">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4．如我方中标，：</w:t>
      </w:r>
    </w:p>
    <w:p w14:paraId="1EDDAD00">
      <w:pPr>
        <w:pStyle w:val="20"/>
        <w:snapToGrid w:val="0"/>
        <w:spacing w:after="0" w:line="360" w:lineRule="auto"/>
        <w:ind w:firstLine="210" w:firstLineChars="1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（1）我方承诺在收到中标通知书后，在中标通知书规定的期限内与你方签订合同；</w:t>
      </w:r>
    </w:p>
    <w:p w14:paraId="40AE2C91">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（2）在签订合同时不向你方提出附加条件；</w:t>
      </w:r>
    </w:p>
    <w:p w14:paraId="35A7007F">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（3）按照招标文件要求提交履约保证金；</w:t>
      </w:r>
    </w:p>
    <w:p w14:paraId="4C71F58F">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（4）在合同约定的期限内完成合同规定的全部义务；</w:t>
      </w:r>
    </w:p>
    <w:p w14:paraId="0D4FC8F0">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5）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14:paraId="757BD4D5">
      <w:pPr>
        <w:pStyle w:val="20"/>
        <w:snapToGrid w:val="0"/>
        <w:spacing w:after="0"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5.我方在此声明，所递交的投标文件及有关资料内容完整、真实和准确，且不存在招标文件第二章“投标人须知”第1.4.3项和第1.4.4项规定的任何一种情形。</w:t>
      </w:r>
    </w:p>
    <w:p w14:paraId="2BC3679C">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6.在合同协议书正式签署生效之前，本投标函连同你方的中标通知书将构成我们双方之间共同遵守的文件，对双方具有约束力。</w:t>
      </w:r>
    </w:p>
    <w:p w14:paraId="60BFD4C6">
      <w:pPr>
        <w:pStyle w:val="20"/>
        <w:snapToGrid w:val="0"/>
        <w:spacing w:after="0"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7.（其他补充说明）。</w:t>
      </w:r>
    </w:p>
    <w:p w14:paraId="32C3B0C9">
      <w:pPr>
        <w:pStyle w:val="20"/>
        <w:spacing w:before="11"/>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投标人：（盖单位章）</w:t>
      </w:r>
    </w:p>
    <w:p w14:paraId="7892419A">
      <w:pPr>
        <w:pStyle w:val="20"/>
        <w:snapToGrid w:val="0"/>
        <w:spacing w:after="0"/>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法定代表人或其委托代理人：（签字或盖章）</w:t>
      </w:r>
    </w:p>
    <w:p w14:paraId="34D73DC4">
      <w:pPr>
        <w:pStyle w:val="20"/>
        <w:snapToGrid w:val="0"/>
        <w:spacing w:after="0"/>
        <w:ind w:right="239"/>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地址：</w:t>
      </w:r>
    </w:p>
    <w:p w14:paraId="6D6E6C78">
      <w:pPr>
        <w:pStyle w:val="20"/>
        <w:snapToGrid w:val="0"/>
        <w:spacing w:after="0"/>
        <w:ind w:right="239"/>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网址：</w:t>
      </w:r>
    </w:p>
    <w:p w14:paraId="3B7DB769">
      <w:pPr>
        <w:pStyle w:val="20"/>
        <w:snapToGrid w:val="0"/>
        <w:spacing w:after="0"/>
        <w:ind w:right="239"/>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电话：</w:t>
      </w:r>
    </w:p>
    <w:p w14:paraId="5296671C">
      <w:pPr>
        <w:pStyle w:val="20"/>
        <w:snapToGrid w:val="0"/>
        <w:spacing w:after="0"/>
        <w:ind w:right="239"/>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传真：</w:t>
      </w:r>
    </w:p>
    <w:p w14:paraId="524F127F">
      <w:pPr>
        <w:pStyle w:val="20"/>
        <w:snapToGrid w:val="0"/>
        <w:spacing w:after="0"/>
        <w:ind w:right="239"/>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邮政编码：</w:t>
      </w:r>
    </w:p>
    <w:p w14:paraId="3333CEB6">
      <w:pPr>
        <w:pStyle w:val="20"/>
        <w:snapToGrid w:val="0"/>
        <w:spacing w:after="0"/>
        <w:ind w:right="119"/>
        <w:jc w:val="righ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年月日</w:t>
      </w:r>
    </w:p>
    <w:p w14:paraId="2CD9386E">
      <w:pPr>
        <w:jc w:val="right"/>
        <w:rPr>
          <w:highlight w:val="none"/>
        </w:rPr>
        <w:sectPr>
          <w:type w:val="continuous"/>
          <w:pgSz w:w="11905" w:h="16838"/>
          <w:pgMar w:top="1077" w:right="1134" w:bottom="1077" w:left="1134" w:header="850" w:footer="992" w:gutter="0"/>
          <w:pgNumType w:fmt="decimal"/>
          <w:cols w:space="0" w:num="1"/>
        </w:sectPr>
      </w:pPr>
    </w:p>
    <w:p w14:paraId="55968330">
      <w:pPr>
        <w:widowControl/>
        <w:jc w:val="left"/>
        <w:rPr>
          <w:rFonts w:eastAsia="黑体" w:cs="黑体"/>
          <w:sz w:val="36"/>
          <w:szCs w:val="36"/>
          <w:highlight w:val="none"/>
        </w:rPr>
      </w:pPr>
      <w:r>
        <w:rPr>
          <w:rFonts w:eastAsia="黑体" w:cs="黑体"/>
          <w:sz w:val="36"/>
          <w:szCs w:val="36"/>
          <w:highlight w:val="none"/>
        </w:rPr>
        <w:br w:type="page"/>
      </w:r>
    </w:p>
    <w:p w14:paraId="609D6B83">
      <w:pPr>
        <w:topLinePunct/>
        <w:spacing w:before="120" w:beforeLines="50" w:after="120" w:afterLines="50"/>
        <w:jc w:val="center"/>
        <w:rPr>
          <w:rFonts w:hint="eastAsia" w:ascii="宋体" w:hAnsi="宋体" w:eastAsia="宋体" w:cs="宋体"/>
          <w:sz w:val="32"/>
          <w:szCs w:val="32"/>
          <w:highlight w:val="none"/>
        </w:rPr>
      </w:pPr>
      <w:bookmarkStart w:id="111" w:name="_Hlk172658368"/>
      <w:r>
        <w:rPr>
          <w:rFonts w:hint="eastAsia" w:ascii="宋体" w:hAnsi="宋体" w:eastAsia="宋体" w:cs="宋体"/>
          <w:sz w:val="32"/>
          <w:szCs w:val="32"/>
          <w:highlight w:val="none"/>
        </w:rPr>
        <w:t>二、法定代表人身份证明或附有法定代表人身份证明的授权委托书</w:t>
      </w:r>
    </w:p>
    <w:p w14:paraId="20DD79CE">
      <w:pPr>
        <w:topLinePunct/>
        <w:spacing w:before="120" w:beforeLines="50" w:after="120" w:afterLines="50"/>
        <w:jc w:val="center"/>
        <w:rPr>
          <w:rFonts w:eastAsia="黑体" w:cs="黑体"/>
          <w:sz w:val="28"/>
          <w:szCs w:val="28"/>
          <w:highlight w:val="none"/>
        </w:rPr>
      </w:pPr>
      <w:r>
        <w:rPr>
          <w:rFonts w:hint="eastAsia" w:eastAsia="黑体" w:cs="黑体"/>
          <w:sz w:val="28"/>
          <w:szCs w:val="28"/>
          <w:highlight w:val="none"/>
        </w:rPr>
        <w:t>（一）授权委托书</w:t>
      </w:r>
    </w:p>
    <w:p w14:paraId="2FA7838C">
      <w:pPr>
        <w:topLinePunct/>
        <w:spacing w:before="120" w:beforeLines="50" w:line="400" w:lineRule="exact"/>
        <w:ind w:firstLine="561"/>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本人</w:t>
      </w:r>
      <w:r>
        <w:rPr>
          <w:rFonts w:hint="eastAsia" w:asciiTheme="minorEastAsia" w:hAnsiTheme="minorEastAsia" w:eastAsiaTheme="minorEastAsia" w:cstheme="minorEastAsia"/>
          <w:sz w:val="21"/>
          <w:szCs w:val="21"/>
          <w:highlight w:val="none"/>
          <w:u w:val="single"/>
        </w:rPr>
        <w:t xml:space="preserve">       (姓名)</w:t>
      </w:r>
      <w:r>
        <w:rPr>
          <w:rFonts w:hint="eastAsia" w:asciiTheme="minorEastAsia" w:hAnsiTheme="minorEastAsia" w:eastAsiaTheme="minorEastAsia" w:cstheme="minorEastAsia"/>
          <w:sz w:val="21"/>
          <w:szCs w:val="21"/>
          <w:highlight w:val="none"/>
        </w:rPr>
        <w:t>系</w:t>
      </w:r>
      <w:r>
        <w:rPr>
          <w:rFonts w:hint="eastAsia" w:asciiTheme="minorEastAsia" w:hAnsiTheme="minorEastAsia" w:eastAsiaTheme="minorEastAsia" w:cstheme="minorEastAsia"/>
          <w:sz w:val="21"/>
          <w:szCs w:val="21"/>
          <w:highlight w:val="none"/>
          <w:u w:val="single"/>
        </w:rPr>
        <w:t xml:space="preserve">       (投标人名称)</w:t>
      </w:r>
      <w:r>
        <w:rPr>
          <w:rFonts w:hint="eastAsia" w:asciiTheme="minorEastAsia" w:hAnsiTheme="minorEastAsia" w:eastAsiaTheme="minorEastAsia" w:cstheme="minorEastAsia"/>
          <w:sz w:val="21"/>
          <w:szCs w:val="21"/>
          <w:highlight w:val="none"/>
        </w:rPr>
        <w:t>的法定代表人，现委托</w:t>
      </w:r>
      <w:r>
        <w:rPr>
          <w:rFonts w:hint="eastAsia" w:asciiTheme="minorEastAsia" w:hAnsiTheme="minorEastAsia" w:eastAsiaTheme="minorEastAsia" w:cstheme="minorEastAsia"/>
          <w:sz w:val="21"/>
          <w:szCs w:val="21"/>
          <w:highlight w:val="none"/>
          <w:u w:val="single"/>
        </w:rPr>
        <w:t xml:space="preserve">  (姓名)</w:t>
      </w:r>
      <w:r>
        <w:rPr>
          <w:rFonts w:hint="eastAsia" w:asciiTheme="minorEastAsia" w:hAnsiTheme="minorEastAsia" w:eastAsiaTheme="minorEastAsia" w:cstheme="minorEastAsia"/>
          <w:sz w:val="21"/>
          <w:szCs w:val="21"/>
          <w:highlight w:val="none"/>
        </w:rPr>
        <w:t>为我方代理人。代理人根据授权，以我方名义签署、澄清、说明、补正、递交、撤回、修改</w:t>
      </w:r>
      <w:r>
        <w:rPr>
          <w:rFonts w:hint="eastAsia" w:asciiTheme="minorEastAsia" w:hAnsiTheme="minorEastAsia" w:eastAsiaTheme="minorEastAsia" w:cstheme="minorEastAsia"/>
          <w:sz w:val="21"/>
          <w:szCs w:val="21"/>
          <w:highlight w:val="none"/>
          <w:u w:val="single"/>
        </w:rPr>
        <w:t xml:space="preserve">      项目</w:t>
      </w:r>
      <w:r>
        <w:rPr>
          <w:rFonts w:hint="eastAsia" w:asciiTheme="minorEastAsia" w:hAnsiTheme="minorEastAsia" w:eastAsiaTheme="minorEastAsia" w:cstheme="minorEastAsia"/>
          <w:sz w:val="21"/>
          <w:szCs w:val="21"/>
          <w:highlight w:val="none"/>
        </w:rPr>
        <w:t>投标文件、签订合同和处理有关事宜，其法律后果由我方承担。</w:t>
      </w:r>
    </w:p>
    <w:p w14:paraId="2B618D97">
      <w:pPr>
        <w:pStyle w:val="20"/>
        <w:rPr>
          <w:rFonts w:hint="eastAsia" w:asciiTheme="minorEastAsia" w:hAnsiTheme="minorEastAsia" w:eastAsiaTheme="minorEastAsia" w:cstheme="minorEastAsia"/>
          <w:sz w:val="21"/>
          <w:szCs w:val="21"/>
          <w:highlight w:val="none"/>
        </w:rPr>
      </w:pPr>
    </w:p>
    <w:p w14:paraId="722FDFD8">
      <w:pPr>
        <w:topLinePunct/>
        <w:spacing w:line="400" w:lineRule="exact"/>
        <w:ind w:firstLine="420" w:firstLineChars="200"/>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委托期限：自本委托书签署之日起至投标有效期期满。</w:t>
      </w:r>
    </w:p>
    <w:p w14:paraId="68950A97">
      <w:pPr>
        <w:topLinePunct/>
        <w:spacing w:line="40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代理人无转委托权。</w:t>
      </w:r>
    </w:p>
    <w:p w14:paraId="48EFFB89">
      <w:pPr>
        <w:topLinePunct/>
        <w:spacing w:line="40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附：法定代表人身份证明（包括法定代表人身份证彩色复印件或彩色扫描件）及委托代理人身份证彩色复印件或彩色扫描件。</w:t>
      </w:r>
    </w:p>
    <w:p w14:paraId="3C6A7AF8">
      <w:pPr>
        <w:topLinePunct/>
        <w:ind w:firstLine="420" w:firstLineChars="200"/>
        <w:rPr>
          <w:rFonts w:hint="eastAsia" w:asciiTheme="minorEastAsia" w:hAnsiTheme="minorEastAsia" w:eastAsiaTheme="minorEastAsia" w:cstheme="minorEastAsia"/>
          <w:sz w:val="21"/>
          <w:szCs w:val="21"/>
          <w:highlight w:val="none"/>
        </w:rPr>
      </w:pPr>
    </w:p>
    <w:p w14:paraId="0D25CBD6">
      <w:pPr>
        <w:topLinePunct/>
        <w:rPr>
          <w:rFonts w:hint="eastAsia" w:asciiTheme="minorEastAsia" w:hAnsiTheme="minorEastAsia" w:eastAsiaTheme="minorEastAsia" w:cstheme="minorEastAsia"/>
          <w:sz w:val="21"/>
          <w:szCs w:val="21"/>
          <w:highlight w:val="none"/>
        </w:rPr>
      </w:pPr>
    </w:p>
    <w:p w14:paraId="76EE1ADF">
      <w:pPr>
        <w:topLinePun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投标人(盖单位公章)：</w:t>
      </w:r>
    </w:p>
    <w:p w14:paraId="5D57FA67">
      <w:pPr>
        <w:topLinePunct/>
        <w:jc w:val="left"/>
        <w:rPr>
          <w:rFonts w:hint="eastAsia" w:asciiTheme="minorEastAsia" w:hAnsiTheme="minorEastAsia" w:eastAsiaTheme="minorEastAsia" w:cstheme="minorEastAsia"/>
          <w:sz w:val="21"/>
          <w:szCs w:val="21"/>
          <w:highlight w:val="none"/>
        </w:rPr>
      </w:pPr>
    </w:p>
    <w:p w14:paraId="75454A6A">
      <w:pPr>
        <w:topLinePun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法定代表人(签字或盖章)：</w:t>
      </w:r>
    </w:p>
    <w:p w14:paraId="0ACC3020">
      <w:pPr>
        <w:topLinePunct/>
        <w:jc w:val="left"/>
        <w:rPr>
          <w:rFonts w:hint="eastAsia" w:asciiTheme="minorEastAsia" w:hAnsiTheme="minorEastAsia" w:eastAsiaTheme="minorEastAsia" w:cstheme="minorEastAsia"/>
          <w:sz w:val="21"/>
          <w:szCs w:val="21"/>
          <w:highlight w:val="none"/>
        </w:rPr>
      </w:pPr>
    </w:p>
    <w:p w14:paraId="6CD749D0">
      <w:pPr>
        <w:topLinePun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身份证号码：</w:t>
      </w:r>
    </w:p>
    <w:p w14:paraId="5AB483B2">
      <w:pPr>
        <w:topLinePunct/>
        <w:jc w:val="left"/>
        <w:rPr>
          <w:rFonts w:hint="eastAsia" w:asciiTheme="minorEastAsia" w:hAnsiTheme="minorEastAsia" w:eastAsiaTheme="minorEastAsia" w:cstheme="minorEastAsia"/>
          <w:sz w:val="21"/>
          <w:szCs w:val="21"/>
          <w:highlight w:val="none"/>
        </w:rPr>
      </w:pPr>
    </w:p>
    <w:p w14:paraId="2BA41472">
      <w:pPr>
        <w:topLinePun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委托代理人(签字或盖章)：</w:t>
      </w:r>
    </w:p>
    <w:p w14:paraId="6760DEF1">
      <w:pPr>
        <w:topLinePunct/>
        <w:jc w:val="left"/>
        <w:rPr>
          <w:rFonts w:hint="eastAsia" w:asciiTheme="minorEastAsia" w:hAnsiTheme="minorEastAsia" w:eastAsiaTheme="minorEastAsia" w:cstheme="minorEastAsia"/>
          <w:sz w:val="21"/>
          <w:szCs w:val="21"/>
          <w:highlight w:val="none"/>
        </w:rPr>
      </w:pPr>
    </w:p>
    <w:p w14:paraId="1B736302">
      <w:pPr>
        <w:topLinePun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身份证号码：</w:t>
      </w:r>
    </w:p>
    <w:p w14:paraId="25791F8F">
      <w:pPr>
        <w:topLinePunct/>
        <w:spacing w:before="120" w:beforeLines="50" w:after="120" w:afterLines="50"/>
        <w:ind w:firstLine="840" w:firstLineChars="4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年月日</w:t>
      </w:r>
    </w:p>
    <w:p w14:paraId="601ED732">
      <w:pPr>
        <w:topLinePunct/>
        <w:spacing w:before="120" w:beforeLines="50" w:after="120" w:afterLines="50"/>
        <w:jc w:val="center"/>
        <w:rPr>
          <w:rFonts w:hint="eastAsia" w:asciiTheme="minorEastAsia" w:hAnsiTheme="minorEastAsia" w:eastAsiaTheme="minorEastAsia" w:cstheme="minorEastAsia"/>
          <w:sz w:val="21"/>
          <w:szCs w:val="21"/>
          <w:highlight w:val="none"/>
        </w:rPr>
      </w:pPr>
    </w:p>
    <w:p w14:paraId="0969E7C3">
      <w:pPr>
        <w:topLinePunct/>
        <w:spacing w:line="400" w:lineRule="exact"/>
        <w:ind w:firstLine="420" w:firstLineChars="200"/>
        <w:rPr>
          <w:rFonts w:hint="eastAsia" w:asciiTheme="minorEastAsia" w:hAnsiTheme="minorEastAsia" w:eastAsiaTheme="minorEastAsia" w:cstheme="minorEastAsia"/>
          <w:sz w:val="21"/>
          <w:szCs w:val="21"/>
          <w:highlight w:val="none"/>
        </w:rPr>
      </w:pPr>
    </w:p>
    <w:p w14:paraId="0B125362">
      <w:pPr>
        <w:topLinePunct/>
        <w:spacing w:line="400" w:lineRule="exact"/>
        <w:ind w:firstLine="420" w:firstLineChars="200"/>
        <w:rPr>
          <w:rFonts w:hint="eastAsia" w:asciiTheme="minorEastAsia" w:hAnsiTheme="minorEastAsia" w:eastAsiaTheme="minorEastAsia" w:cstheme="minorEastAsia"/>
          <w:sz w:val="21"/>
          <w:szCs w:val="21"/>
          <w:highlight w:val="none"/>
        </w:rPr>
      </w:pPr>
    </w:p>
    <w:p w14:paraId="2CBFAF22">
      <w:pPr>
        <w:topLinePunct/>
        <w:spacing w:line="400" w:lineRule="exact"/>
        <w:ind w:firstLine="420" w:firstLineChars="200"/>
        <w:rPr>
          <w:rFonts w:hint="eastAsia" w:asciiTheme="minorEastAsia" w:hAnsiTheme="minorEastAsia" w:eastAsiaTheme="minorEastAsia" w:cstheme="minorEastAsia"/>
          <w:sz w:val="21"/>
          <w:szCs w:val="21"/>
          <w:highlight w:val="none"/>
        </w:rPr>
      </w:pPr>
    </w:p>
    <w:p w14:paraId="00F16E53">
      <w:pPr>
        <w:topLinePunct/>
        <w:spacing w:line="400" w:lineRule="exact"/>
        <w:ind w:firstLine="420" w:firstLineChars="200"/>
        <w:rPr>
          <w:rFonts w:hint="eastAsia" w:asciiTheme="minorEastAsia" w:hAnsiTheme="minorEastAsia" w:eastAsiaTheme="minorEastAsia" w:cstheme="minorEastAsia"/>
          <w:sz w:val="21"/>
          <w:szCs w:val="21"/>
          <w:highlight w:val="none"/>
        </w:rPr>
      </w:pPr>
    </w:p>
    <w:p w14:paraId="1F4CD1B9">
      <w:pPr>
        <w:topLinePunct/>
        <w:spacing w:line="400" w:lineRule="exact"/>
        <w:ind w:firstLine="420" w:firstLineChars="200"/>
        <w:rPr>
          <w:rFonts w:hint="eastAsia" w:asciiTheme="minorEastAsia" w:hAnsiTheme="minorEastAsia" w:eastAsiaTheme="minorEastAsia" w:cstheme="minorEastAsia"/>
          <w:sz w:val="21"/>
          <w:szCs w:val="21"/>
          <w:highlight w:val="none"/>
        </w:rPr>
      </w:pPr>
    </w:p>
    <w:p w14:paraId="43A8D8FF">
      <w:pPr>
        <w:spacing w:line="360" w:lineRule="auto"/>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注：如果由投标人的法定代表人签署投标文件，则无须提交授权委托书。</w:t>
      </w:r>
    </w:p>
    <w:p w14:paraId="68D123C7">
      <w:pPr>
        <w:pStyle w:val="203"/>
        <w:topLinePunct/>
        <w:spacing w:line="400" w:lineRule="exact"/>
        <w:ind w:left="560" w:firstLine="0" w:firstLineChars="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br w:type="page"/>
      </w:r>
    </w:p>
    <w:p w14:paraId="1A5E0EFB">
      <w:pPr>
        <w:topLinePun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(二)法定代表人身份证明</w:t>
      </w:r>
    </w:p>
    <w:p w14:paraId="4CF5B211">
      <w:pPr>
        <w:pStyle w:val="20"/>
        <w:rPr>
          <w:highlight w:val="none"/>
        </w:rPr>
      </w:pPr>
    </w:p>
    <w:p w14:paraId="785439D4">
      <w:pPr>
        <w:topLinePunct/>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投标人名称：</w:t>
      </w:r>
    </w:p>
    <w:p w14:paraId="4ACE1F38">
      <w:pPr>
        <w:topLinePunct/>
        <w:rPr>
          <w:rFonts w:hint="eastAsia" w:asciiTheme="minorEastAsia" w:hAnsiTheme="minorEastAsia" w:eastAsiaTheme="minorEastAsia" w:cstheme="minorEastAsia"/>
          <w:sz w:val="21"/>
          <w:szCs w:val="21"/>
          <w:highlight w:val="none"/>
        </w:rPr>
      </w:pPr>
    </w:p>
    <w:p w14:paraId="4698AF64">
      <w:pPr>
        <w:topLinePunct/>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姓名：</w:t>
      </w:r>
      <w:r>
        <w:rPr>
          <w:rFonts w:hint="eastAsia" w:asciiTheme="minorEastAsia" w:hAnsiTheme="minorEastAsia" w:eastAsiaTheme="minorEastAsia" w:cstheme="minorEastAsia"/>
          <w:sz w:val="21"/>
          <w:szCs w:val="21"/>
          <w:highlight w:val="none"/>
          <w:u w:val="single"/>
        </w:rPr>
        <w:t xml:space="preserve">(签字或盖章) </w:t>
      </w:r>
    </w:p>
    <w:p w14:paraId="4916B235">
      <w:pPr>
        <w:topLinePunct/>
        <w:rPr>
          <w:rFonts w:hint="eastAsia" w:asciiTheme="minorEastAsia" w:hAnsiTheme="minorEastAsia" w:eastAsiaTheme="minorEastAsia" w:cstheme="minorEastAsia"/>
          <w:sz w:val="21"/>
          <w:szCs w:val="21"/>
          <w:highlight w:val="none"/>
          <w:u w:val="single"/>
        </w:rPr>
      </w:pPr>
    </w:p>
    <w:p w14:paraId="5511F990">
      <w:pPr>
        <w:topLinePun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性别：</w:t>
      </w:r>
    </w:p>
    <w:p w14:paraId="03C87368">
      <w:pPr>
        <w:topLinePunct/>
        <w:rPr>
          <w:rFonts w:hint="eastAsia" w:asciiTheme="minorEastAsia" w:hAnsiTheme="minorEastAsia" w:eastAsiaTheme="minorEastAsia" w:cstheme="minorEastAsia"/>
          <w:sz w:val="21"/>
          <w:szCs w:val="21"/>
          <w:highlight w:val="none"/>
        </w:rPr>
      </w:pPr>
    </w:p>
    <w:p w14:paraId="270DDC0D">
      <w:pPr>
        <w:topLinePun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年龄：</w:t>
      </w:r>
    </w:p>
    <w:p w14:paraId="5505FCDD">
      <w:pPr>
        <w:topLinePunct/>
        <w:rPr>
          <w:rFonts w:hint="eastAsia" w:asciiTheme="minorEastAsia" w:hAnsiTheme="minorEastAsia" w:eastAsiaTheme="minorEastAsia" w:cstheme="minorEastAsia"/>
          <w:sz w:val="21"/>
          <w:szCs w:val="21"/>
          <w:highlight w:val="none"/>
        </w:rPr>
      </w:pPr>
    </w:p>
    <w:p w14:paraId="2A8F2C5C">
      <w:pPr>
        <w:topLinePunct/>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职务：</w:t>
      </w:r>
    </w:p>
    <w:p w14:paraId="1DF71A72">
      <w:pPr>
        <w:topLinePunct/>
        <w:rPr>
          <w:rFonts w:hint="eastAsia" w:asciiTheme="minorEastAsia" w:hAnsiTheme="minorEastAsia" w:eastAsiaTheme="minorEastAsia" w:cstheme="minorEastAsia"/>
          <w:sz w:val="21"/>
          <w:szCs w:val="21"/>
          <w:highlight w:val="none"/>
        </w:rPr>
      </w:pPr>
    </w:p>
    <w:p w14:paraId="7208A0DB">
      <w:pPr>
        <w:topLinePun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系</w:t>
      </w:r>
      <w:r>
        <w:rPr>
          <w:rFonts w:hint="eastAsia" w:asciiTheme="minorEastAsia" w:hAnsiTheme="minorEastAsia" w:eastAsiaTheme="minorEastAsia" w:cstheme="minorEastAsia"/>
          <w:sz w:val="21"/>
          <w:szCs w:val="21"/>
          <w:highlight w:val="none"/>
          <w:u w:val="single"/>
        </w:rPr>
        <w:t xml:space="preserve">(投标人名称)        </w:t>
      </w:r>
      <w:r>
        <w:rPr>
          <w:rFonts w:hint="eastAsia" w:asciiTheme="minorEastAsia" w:hAnsiTheme="minorEastAsia" w:eastAsiaTheme="minorEastAsia" w:cstheme="minorEastAsia"/>
          <w:sz w:val="21"/>
          <w:szCs w:val="21"/>
          <w:highlight w:val="none"/>
        </w:rPr>
        <w:t>的法定代表人。</w:t>
      </w:r>
    </w:p>
    <w:p w14:paraId="14A16B44">
      <w:pPr>
        <w:topLinePunct/>
        <w:rPr>
          <w:rFonts w:hint="eastAsia" w:asciiTheme="minorEastAsia" w:hAnsiTheme="minorEastAsia" w:eastAsiaTheme="minorEastAsia" w:cstheme="minorEastAsia"/>
          <w:sz w:val="21"/>
          <w:szCs w:val="21"/>
          <w:highlight w:val="none"/>
        </w:rPr>
      </w:pPr>
    </w:p>
    <w:p w14:paraId="58F626DB">
      <w:pPr>
        <w:topLinePun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特此证明。</w:t>
      </w:r>
    </w:p>
    <w:p w14:paraId="57FD7A7A">
      <w:pPr>
        <w:topLinePunct/>
        <w:rPr>
          <w:rFonts w:hint="eastAsia" w:asciiTheme="minorEastAsia" w:hAnsiTheme="minorEastAsia" w:eastAsiaTheme="minorEastAsia" w:cstheme="minorEastAsia"/>
          <w:sz w:val="21"/>
          <w:szCs w:val="21"/>
          <w:highlight w:val="none"/>
        </w:rPr>
      </w:pPr>
    </w:p>
    <w:p w14:paraId="2329374B">
      <w:pPr>
        <w:topLinePun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附：法定代表人身份证彩色复印件或彩色扫描件。</w:t>
      </w:r>
    </w:p>
    <w:p w14:paraId="79E06557">
      <w:pPr>
        <w:topLinePunct/>
        <w:rPr>
          <w:rFonts w:hint="eastAsia" w:asciiTheme="minorEastAsia" w:hAnsiTheme="minorEastAsia" w:eastAsiaTheme="minorEastAsia" w:cstheme="minorEastAsia"/>
          <w:sz w:val="21"/>
          <w:szCs w:val="21"/>
          <w:highlight w:val="none"/>
        </w:rPr>
      </w:pPr>
    </w:p>
    <w:p w14:paraId="4E5E535D">
      <w:pPr>
        <w:topLinePunct/>
        <w:rPr>
          <w:rFonts w:hint="eastAsia" w:asciiTheme="minorEastAsia" w:hAnsiTheme="minorEastAsia" w:eastAsiaTheme="minorEastAsia" w:cstheme="minorEastAsia"/>
          <w:sz w:val="21"/>
          <w:szCs w:val="21"/>
          <w:highlight w:val="none"/>
        </w:rPr>
      </w:pPr>
    </w:p>
    <w:p w14:paraId="091B24D5">
      <w:pPr>
        <w:topLinePun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投标人(盖单位公章)：</w:t>
      </w:r>
    </w:p>
    <w:p w14:paraId="138688E6">
      <w:pPr>
        <w:wordWrap w:val="0"/>
        <w:topLinePunct/>
        <w:ind w:right="-52"/>
        <w:jc w:val="right"/>
        <w:rPr>
          <w:rFonts w:hint="eastAsia" w:asciiTheme="minorEastAsia" w:hAnsiTheme="minorEastAsia" w:eastAsiaTheme="minorEastAsia" w:cstheme="minorEastAsia"/>
          <w:sz w:val="21"/>
          <w:szCs w:val="21"/>
          <w:highlight w:val="none"/>
          <w:u w:val="single"/>
        </w:rPr>
      </w:pPr>
    </w:p>
    <w:p w14:paraId="24184934">
      <w:pPr>
        <w:topLinePunct/>
        <w:rPr>
          <w:rFonts w:hint="eastAsia" w:asciiTheme="minorEastAsia" w:hAnsiTheme="minorEastAsia" w:eastAsiaTheme="minorEastAsia" w:cstheme="minorEastAsia"/>
          <w:sz w:val="21"/>
          <w:szCs w:val="21"/>
          <w:highlight w:val="none"/>
        </w:rPr>
      </w:pPr>
    </w:p>
    <w:p w14:paraId="7E71F8D4">
      <w:pPr>
        <w:topLinePunct/>
        <w:ind w:firstLine="840" w:firstLineChars="4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年  月  日</w:t>
      </w:r>
    </w:p>
    <w:p w14:paraId="5C62DE65">
      <w:pPr>
        <w:topLinePunct/>
        <w:rPr>
          <w:sz w:val="28"/>
          <w:szCs w:val="28"/>
          <w:highlight w:val="none"/>
        </w:rPr>
      </w:pPr>
    </w:p>
    <w:bookmarkEnd w:id="111"/>
    <w:p w14:paraId="1694002E">
      <w:pPr>
        <w:topLinePunct/>
        <w:rPr>
          <w:sz w:val="28"/>
          <w:szCs w:val="28"/>
          <w:highlight w:val="none"/>
        </w:rPr>
      </w:pPr>
    </w:p>
    <w:p w14:paraId="2602A376">
      <w:pPr>
        <w:topLinePunct/>
        <w:rPr>
          <w:sz w:val="28"/>
          <w:szCs w:val="28"/>
          <w:highlight w:val="none"/>
        </w:rPr>
      </w:pPr>
    </w:p>
    <w:p w14:paraId="04405B76">
      <w:pPr>
        <w:rPr>
          <w:rFonts w:eastAsia="黑体"/>
          <w:b/>
          <w:bCs/>
          <w:highlight w:val="none"/>
        </w:rPr>
      </w:pPr>
    </w:p>
    <w:p w14:paraId="158ABDA9">
      <w:pPr>
        <w:spacing w:before="120" w:beforeLines="50" w:after="120" w:afterLines="50"/>
        <w:jc w:val="center"/>
        <w:rPr>
          <w:rFonts w:eastAsia="黑体"/>
          <w:b/>
          <w:bCs/>
          <w:highlight w:val="none"/>
        </w:rPr>
      </w:pPr>
    </w:p>
    <w:p w14:paraId="63795185">
      <w:pPr>
        <w:spacing w:before="120" w:beforeLines="50" w:after="120" w:afterLines="50"/>
        <w:jc w:val="center"/>
        <w:rPr>
          <w:rFonts w:eastAsia="黑体"/>
          <w:b/>
          <w:bCs/>
          <w:highlight w:val="none"/>
        </w:rPr>
      </w:pPr>
    </w:p>
    <w:p w14:paraId="19200F45">
      <w:pPr>
        <w:spacing w:before="120" w:beforeLines="50" w:after="120" w:afterLines="50"/>
        <w:jc w:val="center"/>
        <w:rPr>
          <w:rFonts w:eastAsia="黑体"/>
          <w:b/>
          <w:bCs/>
          <w:highlight w:val="none"/>
        </w:rPr>
      </w:pPr>
    </w:p>
    <w:p w14:paraId="1E042ADA">
      <w:pPr>
        <w:spacing w:before="120" w:beforeLines="50" w:after="120" w:afterLines="50"/>
        <w:jc w:val="center"/>
        <w:rPr>
          <w:rFonts w:eastAsia="黑体"/>
          <w:b/>
          <w:bCs/>
          <w:highlight w:val="none"/>
        </w:rPr>
      </w:pPr>
    </w:p>
    <w:p w14:paraId="1B2D1C0C">
      <w:pPr>
        <w:spacing w:line="400" w:lineRule="exact"/>
        <w:jc w:val="center"/>
        <w:rPr>
          <w:sz w:val="24"/>
          <w:szCs w:val="24"/>
          <w:highlight w:val="none"/>
        </w:rPr>
      </w:pPr>
      <w:r>
        <w:rPr>
          <w:sz w:val="24"/>
          <w:szCs w:val="24"/>
          <w:highlight w:val="none"/>
        </w:rPr>
        <w:br w:type="page"/>
      </w:r>
    </w:p>
    <w:p w14:paraId="1C9D5610">
      <w:pPr>
        <w:widowControl/>
        <w:jc w:val="center"/>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三、投标保证金</w:t>
      </w:r>
      <w:bookmarkStart w:id="112" w:name="_Toc152042551"/>
      <w:bookmarkStart w:id="113" w:name="_Toc179632787"/>
      <w:bookmarkStart w:id="114" w:name="_Toc152045769"/>
    </w:p>
    <w:bookmarkEnd w:id="112"/>
    <w:bookmarkEnd w:id="113"/>
    <w:bookmarkEnd w:id="114"/>
    <w:p w14:paraId="452983EC">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一、投标保证金的金额：</w:t>
      </w:r>
      <w:r>
        <w:rPr>
          <w:rFonts w:hint="eastAsia" w:ascii="宋体" w:hAnsi="宋体"/>
          <w:b/>
          <w:bCs/>
          <w:sz w:val="21"/>
          <w:szCs w:val="21"/>
          <w:highlight w:val="none"/>
          <w:u w:val="single"/>
          <w:lang w:val="en-US" w:eastAsia="zh-CN"/>
        </w:rPr>
        <w:t>详见投标人须知前附表</w:t>
      </w:r>
      <w:r>
        <w:rPr>
          <w:rFonts w:hint="eastAsia" w:ascii="宋体" w:hAnsi="宋体"/>
          <w:b/>
          <w:bCs/>
          <w:sz w:val="21"/>
          <w:szCs w:val="21"/>
          <w:highlight w:val="none"/>
          <w:u w:val="single"/>
        </w:rPr>
        <w:t>。</w:t>
      </w:r>
    </w:p>
    <w:p w14:paraId="4E7207C1">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二、投标保证金的递交截止时间为：同投标文件递交截止时间（即开标时间）</w:t>
      </w:r>
    </w:p>
    <w:p w14:paraId="0A91137F">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三、投标保证金的形式：不限</w:t>
      </w:r>
    </w:p>
    <w:p w14:paraId="54ADC35E">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（一）红名单单位免缴投标保证金，提供列入红名单的公告截图即可。</w:t>
      </w:r>
    </w:p>
    <w:p w14:paraId="345811A3">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（二）非红名单单位根据投标人实际情况合理选择以下任意一种方式：</w:t>
      </w:r>
    </w:p>
    <w:p w14:paraId="2F861D1B">
      <w:pPr>
        <w:adjustRightInd w:val="0"/>
        <w:snapToGrid w:val="0"/>
        <w:spacing w:line="300" w:lineRule="exact"/>
        <w:ind w:left="105" w:leftChars="50" w:right="105" w:rightChars="50"/>
        <w:jc w:val="left"/>
        <w:rPr>
          <w:rFonts w:hint="eastAsia" w:ascii="宋体" w:hAnsi="宋体"/>
          <w:b/>
          <w:bCs/>
          <w:i/>
          <w:iCs/>
          <w:color w:val="FF0000"/>
          <w:sz w:val="21"/>
          <w:szCs w:val="21"/>
          <w:highlight w:val="none"/>
          <w:u w:val="single"/>
        </w:rPr>
      </w:pPr>
      <w:r>
        <w:rPr>
          <w:rFonts w:hint="eastAsia" w:ascii="宋体" w:hAnsi="宋体"/>
          <w:b/>
          <w:bCs/>
          <w:i/>
          <w:iCs/>
          <w:color w:val="FF0000"/>
          <w:sz w:val="21"/>
          <w:szCs w:val="21"/>
          <w:highlight w:val="none"/>
          <w:u w:val="single"/>
        </w:rPr>
        <w:t>（1）现金方式（应当从投标人基本账户转出）：</w:t>
      </w:r>
    </w:p>
    <w:p w14:paraId="08BC14AE">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①若采用转账（网银或柜面皆可），投标人应将投标保证金由投标人基本账户一次性汇入招标人指定账户，否则，视为投标保证金无效。同时将转账凭证扫描件附在投标文件中。</w:t>
      </w:r>
    </w:p>
    <w:p w14:paraId="134C7C36">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②若采用银行汇票或银行本票（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14:paraId="799C3930">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注：投标保证金缴纳开户银行及账号如下</w:t>
      </w:r>
    </w:p>
    <w:p w14:paraId="5CD19D4F">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开户名称：江苏睿致诚工程咨询有限公司南通分公司</w:t>
      </w:r>
    </w:p>
    <w:p w14:paraId="19311AB1">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开户银行：中国农业银行股份有限公司南通人民东路支行</w:t>
      </w:r>
    </w:p>
    <w:p w14:paraId="07C003B9">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银行账号：10716001040028956</w:t>
      </w:r>
    </w:p>
    <w:p w14:paraId="5B8E930F">
      <w:pPr>
        <w:adjustRightInd w:val="0"/>
        <w:snapToGrid w:val="0"/>
        <w:spacing w:line="300" w:lineRule="exact"/>
        <w:ind w:left="105" w:leftChars="50" w:right="105" w:rightChars="50"/>
        <w:jc w:val="left"/>
        <w:rPr>
          <w:rFonts w:hint="eastAsia" w:ascii="宋体" w:hAnsi="宋体"/>
          <w:b/>
          <w:bCs/>
          <w:i/>
          <w:iCs/>
          <w:color w:val="FF0000"/>
          <w:sz w:val="21"/>
          <w:szCs w:val="21"/>
          <w:highlight w:val="none"/>
          <w:u w:val="single"/>
        </w:rPr>
      </w:pPr>
      <w:r>
        <w:rPr>
          <w:rFonts w:hint="eastAsia" w:ascii="宋体" w:hAnsi="宋体"/>
          <w:b/>
          <w:bCs/>
          <w:i/>
          <w:iCs/>
          <w:color w:val="FF0000"/>
          <w:sz w:val="21"/>
          <w:szCs w:val="21"/>
          <w:highlight w:val="none"/>
          <w:u w:val="single"/>
        </w:rPr>
        <w:t>（2）保函、保单等非现金方式（各类保函、保单的费用应由投标人基本账户汇出）：</w:t>
      </w:r>
    </w:p>
    <w:p w14:paraId="6E75E9E9">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w:t>
      </w:r>
      <w:r>
        <w:rPr>
          <w:rFonts w:hint="eastAsia" w:ascii="宋体" w:hAnsi="宋体"/>
          <w:b/>
          <w:bCs/>
          <w:i/>
          <w:iCs/>
          <w:color w:val="FF0000"/>
          <w:sz w:val="21"/>
          <w:szCs w:val="21"/>
          <w:highlight w:val="none"/>
          <w:u w:val="single"/>
        </w:rPr>
        <w:t>费用支付凭证的扫描件</w:t>
      </w:r>
      <w:r>
        <w:rPr>
          <w:rFonts w:hint="eastAsia" w:ascii="宋体" w:hAnsi="宋体"/>
          <w:b/>
          <w:bCs/>
          <w:sz w:val="21"/>
          <w:szCs w:val="21"/>
          <w:highlight w:val="none"/>
          <w:u w:val="single"/>
        </w:rPr>
        <w:t>附在投标文件中。</w:t>
      </w:r>
    </w:p>
    <w:p w14:paraId="02195032">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采用银行保函时，出具保函的银行级别：国有或股份制商业银行的支行或以上级别（不限于银行具体分支机构）。</w:t>
      </w:r>
    </w:p>
    <w:p w14:paraId="06F1ABF6">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②若采用保险机构的保单、担保保函，应采用招标文件提供的格式，且应在投标有效期内保持有效，招标人如果按规定延长了投标有效期，则投标保证金的有效期也相应延长。如出具纸质保单、保函的，则应将保单、保函原件给招标代理，并将保单、保函扫描件和</w:t>
      </w:r>
      <w:r>
        <w:rPr>
          <w:rFonts w:hint="eastAsia" w:ascii="宋体" w:hAnsi="宋体"/>
          <w:b/>
          <w:bCs/>
          <w:i/>
          <w:iCs/>
          <w:color w:val="FF0000"/>
          <w:sz w:val="21"/>
          <w:szCs w:val="21"/>
          <w:highlight w:val="none"/>
          <w:u w:val="single"/>
        </w:rPr>
        <w:t>费用支付凭证的扫描件</w:t>
      </w:r>
      <w:r>
        <w:rPr>
          <w:rFonts w:hint="eastAsia" w:ascii="宋体" w:hAnsi="宋体"/>
          <w:b/>
          <w:bCs/>
          <w:sz w:val="21"/>
          <w:szCs w:val="21"/>
          <w:highlight w:val="none"/>
          <w:u w:val="single"/>
        </w:rPr>
        <w:t>附在投标文件中；如出具电子保单、保函的，则须将保函扫描件和</w:t>
      </w:r>
      <w:r>
        <w:rPr>
          <w:rFonts w:hint="eastAsia" w:ascii="宋体" w:hAnsi="宋体"/>
          <w:b/>
          <w:bCs/>
          <w:i/>
          <w:iCs/>
          <w:color w:val="FF0000"/>
          <w:sz w:val="21"/>
          <w:szCs w:val="21"/>
          <w:highlight w:val="none"/>
          <w:u w:val="single"/>
        </w:rPr>
        <w:t>费用支付凭证的扫描件</w:t>
      </w:r>
      <w:r>
        <w:rPr>
          <w:rFonts w:hint="eastAsia" w:ascii="宋体" w:hAnsi="宋体"/>
          <w:b/>
          <w:bCs/>
          <w:sz w:val="21"/>
          <w:szCs w:val="21"/>
          <w:highlight w:val="none"/>
          <w:u w:val="single"/>
        </w:rPr>
        <w:t>附在投标文件中。</w:t>
      </w:r>
    </w:p>
    <w:p w14:paraId="3493E3A2">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（3）采用《投标保证金信用承诺书》方式，格式详见招标文件第九章投标文件格式。</w:t>
      </w:r>
    </w:p>
    <w:p w14:paraId="479AD999">
      <w:pPr>
        <w:adjustRightInd w:val="0"/>
        <w:snapToGrid w:val="0"/>
        <w:spacing w:line="300" w:lineRule="exact"/>
        <w:ind w:left="105" w:leftChars="50" w:right="105" w:rightChars="50"/>
        <w:jc w:val="left"/>
        <w:rPr>
          <w:rFonts w:hint="eastAsia" w:ascii="宋体" w:hAnsi="宋体"/>
          <w:b/>
          <w:bCs/>
          <w:sz w:val="21"/>
          <w:szCs w:val="21"/>
          <w:highlight w:val="none"/>
          <w:u w:val="single"/>
        </w:rPr>
      </w:pPr>
      <w:r>
        <w:rPr>
          <w:rFonts w:hint="eastAsia" w:ascii="宋体" w:hAnsi="宋体"/>
          <w:b/>
          <w:bCs/>
          <w:sz w:val="21"/>
          <w:szCs w:val="21"/>
          <w:highlight w:val="none"/>
          <w:u w:val="single"/>
        </w:rPr>
        <w:t>四、投标保证金的退还：由招标人/招标代理按规定办理退还手续。</w:t>
      </w:r>
    </w:p>
    <w:p w14:paraId="7662258E">
      <w:pPr>
        <w:widowControl/>
        <w:jc w:val="left"/>
        <w:rPr>
          <w:rFonts w:hint="eastAsia" w:ascii="宋体" w:hAnsi="宋体"/>
          <w:b/>
          <w:bCs/>
          <w:sz w:val="21"/>
          <w:szCs w:val="21"/>
          <w:highlight w:val="none"/>
          <w:u w:val="single"/>
        </w:rPr>
      </w:pPr>
      <w:r>
        <w:rPr>
          <w:rFonts w:hint="eastAsia" w:ascii="宋体" w:hAnsi="宋体"/>
          <w:b/>
          <w:bCs/>
          <w:sz w:val="21"/>
          <w:szCs w:val="21"/>
          <w:highlight w:val="none"/>
          <w:u w:val="single"/>
        </w:rPr>
        <w:t>注：现场开标环节中“保证金缴纳情况”中进行的确认保证金选项到账不代表保证金已到账，最终到账情况以查实的到账情况为准。</w:t>
      </w:r>
    </w:p>
    <w:p w14:paraId="284B1A23">
      <w:pPr>
        <w:widowControl/>
        <w:jc w:val="left"/>
        <w:rPr>
          <w:rFonts w:hint="eastAsia" w:ascii="宋体" w:hAnsi="宋体" w:cs="宋体"/>
          <w:sz w:val="21"/>
          <w:szCs w:val="21"/>
          <w:highlight w:val="none"/>
        </w:rPr>
      </w:pPr>
      <w:r>
        <w:rPr>
          <w:rFonts w:hint="eastAsia" w:ascii="宋体" w:hAnsi="宋体"/>
          <w:b/>
          <w:bCs/>
          <w:sz w:val="21"/>
          <w:szCs w:val="21"/>
          <w:highlight w:val="none"/>
          <w:u w:val="single"/>
        </w:rPr>
        <w:br w:type="page"/>
      </w:r>
      <w:r>
        <w:rPr>
          <w:rFonts w:hint="eastAsia" w:ascii="宋体" w:hAnsi="宋体" w:cs="宋体"/>
          <w:sz w:val="21"/>
          <w:szCs w:val="21"/>
          <w:highlight w:val="none"/>
        </w:rPr>
        <w:t>采用保函（保险）的，保函（保险）须为无条件地、不可撤销地保证的，格式如下：</w:t>
      </w:r>
    </w:p>
    <w:p w14:paraId="495512CC">
      <w:pPr>
        <w:spacing w:line="400" w:lineRule="exact"/>
        <w:ind w:firstLine="420" w:firstLineChars="200"/>
        <w:rPr>
          <w:rFonts w:hint="eastAsia" w:ascii="宋体" w:hAnsi="宋体" w:cs="宋体"/>
          <w:sz w:val="21"/>
          <w:szCs w:val="21"/>
          <w:highlight w:val="none"/>
        </w:rPr>
      </w:pPr>
    </w:p>
    <w:p w14:paraId="69DECB8D">
      <w:pPr>
        <w:spacing w:line="400" w:lineRule="exact"/>
        <w:rPr>
          <w:rFonts w:hint="eastAsia" w:ascii="宋体" w:hAnsi="宋体" w:cs="宋体"/>
          <w:sz w:val="21"/>
          <w:szCs w:val="21"/>
          <w:highlight w:val="none"/>
          <w:u w:val="single"/>
        </w:rPr>
      </w:pPr>
      <w:r>
        <w:rPr>
          <w:rFonts w:hint="eastAsia" w:ascii="宋体" w:hAnsi="宋体" w:cs="宋体"/>
          <w:sz w:val="21"/>
          <w:szCs w:val="21"/>
          <w:highlight w:val="none"/>
          <w:u w:val="single"/>
        </w:rPr>
        <w:t>（招标人名称）：</w:t>
      </w:r>
    </w:p>
    <w:p w14:paraId="0EE9BA23">
      <w:pPr>
        <w:spacing w:line="400" w:lineRule="exact"/>
        <w:rPr>
          <w:rFonts w:hint="eastAsia" w:ascii="宋体" w:hAnsi="宋体" w:cs="宋体"/>
          <w:sz w:val="21"/>
          <w:szCs w:val="21"/>
          <w:highlight w:val="none"/>
        </w:rPr>
      </w:pPr>
    </w:p>
    <w:p w14:paraId="6568D83C">
      <w:pPr>
        <w:spacing w:line="400" w:lineRule="exact"/>
        <w:ind w:firstLine="420" w:firstLineChars="200"/>
        <w:rPr>
          <w:rFonts w:hint="eastAsia" w:ascii="宋体" w:hAnsi="宋体" w:cs="宋体"/>
          <w:sz w:val="21"/>
          <w:szCs w:val="21"/>
          <w:highlight w:val="none"/>
        </w:rPr>
      </w:pPr>
      <w:r>
        <w:rPr>
          <w:rFonts w:hint="eastAsia" w:ascii="宋体" w:hAnsi="宋体" w:cs="宋体"/>
          <w:sz w:val="21"/>
          <w:szCs w:val="21"/>
          <w:highlight w:val="none"/>
        </w:rPr>
        <w:t>鉴于</w:t>
      </w:r>
      <w:r>
        <w:rPr>
          <w:rFonts w:hint="eastAsia" w:ascii="宋体" w:hAnsi="宋体" w:cs="宋体"/>
          <w:sz w:val="21"/>
          <w:szCs w:val="21"/>
          <w:highlight w:val="none"/>
          <w:u w:val="single"/>
        </w:rPr>
        <w:t>（投标人名称）（以下称“投标人”）</w:t>
      </w:r>
      <w:r>
        <w:rPr>
          <w:rFonts w:hint="eastAsia" w:ascii="宋体" w:hAnsi="宋体" w:cs="宋体"/>
          <w:sz w:val="21"/>
          <w:szCs w:val="21"/>
          <w:highlight w:val="none"/>
        </w:rPr>
        <w:t>于年月日参加</w:t>
      </w:r>
      <w:r>
        <w:rPr>
          <w:rFonts w:hint="eastAsia" w:ascii="宋体" w:hAnsi="宋体" w:cs="宋体"/>
          <w:sz w:val="21"/>
          <w:szCs w:val="21"/>
          <w:highlight w:val="none"/>
          <w:u w:val="single"/>
        </w:rPr>
        <w:t xml:space="preserve">    （项目名称）   </w:t>
      </w:r>
      <w:r>
        <w:rPr>
          <w:rFonts w:hint="eastAsia" w:ascii="宋体" w:hAnsi="宋体" w:cs="宋体"/>
          <w:sz w:val="21"/>
          <w:szCs w:val="21"/>
          <w:highlight w:val="none"/>
        </w:rPr>
        <w:t>的投标，</w:t>
      </w:r>
      <w:r>
        <w:rPr>
          <w:rFonts w:hint="eastAsia" w:ascii="宋体" w:hAnsi="宋体" w:cs="宋体"/>
          <w:sz w:val="21"/>
          <w:szCs w:val="21"/>
          <w:highlight w:val="none"/>
          <w:u w:val="single"/>
        </w:rPr>
        <w:t xml:space="preserve">    （担保人名称，以下简称“我方”）    </w:t>
      </w:r>
      <w:r>
        <w:rPr>
          <w:rFonts w:hint="eastAsia" w:ascii="宋体" w:hAnsi="宋体" w:cs="宋体"/>
          <w:sz w:val="21"/>
          <w:szCs w:val="21"/>
          <w:highlight w:val="none"/>
        </w:rPr>
        <w:t>无条件地、不可撤销地保证：若投标人在投标有效期内撤销投标文件，中标后无正当理由不与招标人订立合同，在签订合同时向招标人提出附加条件，不按照招标文件要求提交履约保证金，或发生招标文件明确规定可以不予退还投标保证金的其他情形，我方承担保证责任。收到你方书面通知后，我方在</w:t>
      </w:r>
      <w:r>
        <w:rPr>
          <w:rFonts w:ascii="宋体" w:hAnsi="宋体" w:cs="宋体"/>
          <w:sz w:val="21"/>
          <w:szCs w:val="21"/>
          <w:highlight w:val="none"/>
        </w:rPr>
        <w:t>7</w:t>
      </w:r>
      <w:r>
        <w:rPr>
          <w:rFonts w:hint="eastAsia" w:ascii="宋体" w:hAnsi="宋体" w:cs="宋体"/>
          <w:sz w:val="21"/>
          <w:szCs w:val="21"/>
          <w:highlight w:val="none"/>
        </w:rPr>
        <w:t>日内向你方无条件支付人民币</w:t>
      </w:r>
      <w:r>
        <w:rPr>
          <w:rFonts w:hint="eastAsia" w:ascii="宋体" w:hAnsi="宋体" w:cs="宋体"/>
          <w:sz w:val="21"/>
          <w:szCs w:val="21"/>
          <w:highlight w:val="none"/>
          <w:u w:val="single"/>
        </w:rPr>
        <w:t xml:space="preserve">（大写）    </w:t>
      </w:r>
      <w:r>
        <w:rPr>
          <w:rFonts w:hint="eastAsia" w:ascii="宋体" w:hAnsi="宋体" w:cs="宋体"/>
          <w:sz w:val="21"/>
          <w:szCs w:val="21"/>
          <w:highlight w:val="none"/>
        </w:rPr>
        <w:t>元。</w:t>
      </w:r>
    </w:p>
    <w:p w14:paraId="2A709E99">
      <w:pPr>
        <w:spacing w:line="400" w:lineRule="exact"/>
        <w:ind w:firstLine="420" w:firstLineChars="200"/>
        <w:rPr>
          <w:rFonts w:hint="eastAsia" w:ascii="宋体" w:hAnsi="宋体" w:cs="宋体"/>
          <w:sz w:val="21"/>
          <w:szCs w:val="21"/>
          <w:highlight w:val="none"/>
        </w:rPr>
      </w:pPr>
      <w:r>
        <w:rPr>
          <w:rFonts w:hint="eastAsia" w:ascii="宋体" w:hAnsi="宋体" w:cs="宋体"/>
          <w:sz w:val="21"/>
          <w:szCs w:val="21"/>
          <w:highlight w:val="none"/>
        </w:rPr>
        <w:t>本保函在投标有效期或经延长的投标有效期内保持有效。要求我方承担保证责任的通知应在上述期限内送达我方。你方延长投标有效期的决定，应通知我方。</w:t>
      </w:r>
    </w:p>
    <w:p w14:paraId="5172F029">
      <w:pPr>
        <w:rPr>
          <w:rFonts w:hint="eastAsia" w:ascii="宋体" w:hAnsi="宋体" w:cs="宋体"/>
          <w:sz w:val="21"/>
          <w:szCs w:val="21"/>
          <w:highlight w:val="none"/>
        </w:rPr>
      </w:pPr>
    </w:p>
    <w:p w14:paraId="007413B8">
      <w:pPr>
        <w:rPr>
          <w:rFonts w:hint="eastAsia" w:ascii="宋体" w:hAnsi="宋体" w:cs="宋体"/>
          <w:sz w:val="21"/>
          <w:szCs w:val="21"/>
          <w:highlight w:val="none"/>
        </w:rPr>
      </w:pPr>
    </w:p>
    <w:p w14:paraId="7AB61A47">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担保人名称：</w:t>
      </w:r>
      <w:r>
        <w:rPr>
          <w:rFonts w:hint="eastAsia" w:ascii="宋体" w:hAnsi="宋体" w:cs="宋体"/>
          <w:sz w:val="21"/>
          <w:szCs w:val="21"/>
          <w:highlight w:val="none"/>
          <w:u w:val="single"/>
        </w:rPr>
        <w:t xml:space="preserve">    （盖单位章）    </w:t>
      </w:r>
    </w:p>
    <w:p w14:paraId="0A550520">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法定代表人或其委托代理人：</w:t>
      </w:r>
      <w:r>
        <w:rPr>
          <w:rFonts w:hint="eastAsia" w:ascii="宋体" w:hAnsi="宋体" w:cs="宋体"/>
          <w:sz w:val="21"/>
          <w:szCs w:val="21"/>
          <w:highlight w:val="none"/>
          <w:u w:val="single"/>
        </w:rPr>
        <w:t xml:space="preserve">    （签字）    </w:t>
      </w:r>
    </w:p>
    <w:p w14:paraId="585B65D7">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地址：</w:t>
      </w:r>
    </w:p>
    <w:p w14:paraId="0713D517">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邮政编码：</w:t>
      </w:r>
    </w:p>
    <w:p w14:paraId="55A0AFB9">
      <w:pPr>
        <w:spacing w:line="360" w:lineRule="auto"/>
        <w:rPr>
          <w:rFonts w:hint="eastAsia" w:ascii="宋体" w:hAnsi="宋体" w:cs="宋体"/>
          <w:sz w:val="21"/>
          <w:szCs w:val="21"/>
          <w:highlight w:val="none"/>
        </w:rPr>
      </w:pPr>
      <w:r>
        <w:rPr>
          <w:rFonts w:hint="eastAsia" w:ascii="宋体" w:hAnsi="宋体" w:cs="宋体"/>
          <w:sz w:val="21"/>
          <w:szCs w:val="21"/>
          <w:highlight w:val="none"/>
        </w:rPr>
        <w:t>电话：</w:t>
      </w:r>
    </w:p>
    <w:p w14:paraId="1993FEDE">
      <w:pPr>
        <w:spacing w:line="360" w:lineRule="auto"/>
        <w:rPr>
          <w:rFonts w:hint="eastAsia" w:ascii="宋体" w:hAnsi="宋体" w:cs="宋体"/>
          <w:sz w:val="21"/>
          <w:szCs w:val="21"/>
          <w:highlight w:val="none"/>
        </w:rPr>
      </w:pPr>
      <w:r>
        <w:rPr>
          <w:rFonts w:hint="eastAsia" w:ascii="宋体" w:hAnsi="宋体" w:cs="宋体"/>
          <w:sz w:val="21"/>
          <w:szCs w:val="21"/>
          <w:highlight w:val="none"/>
        </w:rPr>
        <w:t>传真：</w:t>
      </w:r>
    </w:p>
    <w:p w14:paraId="56CD4CD4">
      <w:pPr>
        <w:spacing w:line="440" w:lineRule="exact"/>
        <w:ind w:firstLine="630" w:firstLineChars="300"/>
        <w:rPr>
          <w:rFonts w:hint="eastAsia" w:ascii="宋体" w:hAnsi="宋体" w:cs="宋体"/>
          <w:sz w:val="21"/>
          <w:szCs w:val="21"/>
          <w:highlight w:val="none"/>
        </w:rPr>
      </w:pPr>
      <w:r>
        <w:rPr>
          <w:rFonts w:hint="eastAsia" w:ascii="宋体" w:hAnsi="宋体" w:cs="宋体"/>
          <w:sz w:val="21"/>
          <w:szCs w:val="21"/>
          <w:highlight w:val="none"/>
        </w:rPr>
        <w:t>年   月   日</w:t>
      </w:r>
    </w:p>
    <w:p w14:paraId="4982FA1A">
      <w:pPr>
        <w:adjustRightInd w:val="0"/>
        <w:snapToGrid w:val="0"/>
        <w:spacing w:line="360" w:lineRule="auto"/>
        <w:rPr>
          <w:rFonts w:hint="eastAsia" w:ascii="黑体" w:hAnsi="黑体" w:eastAsia="黑体" w:cs="黑体"/>
          <w:b/>
          <w:sz w:val="21"/>
          <w:szCs w:val="21"/>
          <w:highlight w:val="none"/>
        </w:rPr>
      </w:pPr>
      <w:r>
        <w:rPr>
          <w:rFonts w:hint="eastAsia" w:ascii="宋体" w:hAnsi="宋体" w:cs="宋体"/>
          <w:sz w:val="21"/>
          <w:szCs w:val="21"/>
          <w:highlight w:val="none"/>
        </w:rPr>
        <w:br w:type="page"/>
      </w:r>
      <w:r>
        <w:rPr>
          <w:rFonts w:hint="eastAsia" w:ascii="黑体" w:hAnsi="黑体" w:eastAsia="黑体" w:cs="黑体"/>
          <w:b/>
          <w:sz w:val="21"/>
          <w:szCs w:val="21"/>
          <w:highlight w:val="none"/>
        </w:rPr>
        <w:t>非红名单单位递交《投标保证金信用承诺书》，格式如下：</w:t>
      </w:r>
    </w:p>
    <w:p w14:paraId="22F94670">
      <w:pPr>
        <w:autoSpaceDE w:val="0"/>
        <w:autoSpaceDN w:val="0"/>
        <w:snapToGrid w:val="0"/>
        <w:spacing w:line="360" w:lineRule="auto"/>
        <w:ind w:left="108" w:right="522" w:firstLine="420"/>
        <w:jc w:val="center"/>
        <w:rPr>
          <w:rFonts w:hint="eastAsia" w:ascii="黑体" w:hAnsi="黑体" w:eastAsia="黑体" w:cs="黑体"/>
          <w:b/>
          <w:sz w:val="21"/>
          <w:szCs w:val="21"/>
          <w:highlight w:val="none"/>
        </w:rPr>
      </w:pPr>
      <w:r>
        <w:rPr>
          <w:rFonts w:hint="eastAsia" w:ascii="黑体" w:hAnsi="黑体" w:eastAsia="黑体" w:cs="黑体"/>
          <w:b/>
          <w:sz w:val="21"/>
          <w:szCs w:val="21"/>
          <w:highlight w:val="none"/>
        </w:rPr>
        <w:t>投标保证金信用承诺书</w:t>
      </w:r>
    </w:p>
    <w:p w14:paraId="4FE11D97">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致：</w:t>
      </w:r>
      <w:r>
        <w:rPr>
          <w:rFonts w:hint="eastAsia" w:hAnsi="宋体" w:cs="宋体"/>
          <w:sz w:val="21"/>
          <w:szCs w:val="21"/>
          <w:highlight w:val="none"/>
          <w:u w:val="single"/>
        </w:rPr>
        <w:t xml:space="preserve">      </w:t>
      </w:r>
      <w:r>
        <w:rPr>
          <w:rFonts w:hint="eastAsia" w:ascii="黑体" w:hAnsi="黑体" w:eastAsia="黑体" w:cs="黑体"/>
          <w:b/>
          <w:sz w:val="21"/>
          <w:szCs w:val="21"/>
          <w:highlight w:val="none"/>
        </w:rPr>
        <w:t xml:space="preserve"> （招标人名称）         </w:t>
      </w:r>
    </w:p>
    <w:p w14:paraId="20230446">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本公司(单位)拟参加项目的投标，自愿以书面承诺形式替代投标保证金并愿意承担不实承诺的法律责任。</w:t>
      </w:r>
    </w:p>
    <w:p w14:paraId="24BA37B6">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一、项目基本情况</w:t>
      </w:r>
    </w:p>
    <w:p w14:paraId="3A5A5D86">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项目名称：</w:t>
      </w:r>
      <w:r>
        <w:rPr>
          <w:rFonts w:hint="eastAsia" w:hAnsi="宋体" w:cs="宋体"/>
          <w:sz w:val="21"/>
          <w:szCs w:val="21"/>
          <w:highlight w:val="none"/>
          <w:u w:val="single"/>
        </w:rPr>
        <w:t xml:space="preserve">      </w:t>
      </w:r>
    </w:p>
    <w:p w14:paraId="302B27BA">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标段名称：</w:t>
      </w:r>
      <w:r>
        <w:rPr>
          <w:rFonts w:hint="eastAsia" w:hAnsi="宋体" w:cs="宋体"/>
          <w:sz w:val="21"/>
          <w:szCs w:val="21"/>
          <w:highlight w:val="none"/>
          <w:u w:val="single"/>
        </w:rPr>
        <w:t xml:space="preserve">      </w:t>
      </w:r>
    </w:p>
    <w:p w14:paraId="70B6872B">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保证金金额：</w:t>
      </w:r>
      <w:r>
        <w:rPr>
          <w:rFonts w:hint="eastAsia" w:hAnsi="宋体" w:cs="宋体"/>
          <w:sz w:val="21"/>
          <w:szCs w:val="21"/>
          <w:highlight w:val="none"/>
          <w:u w:val="single"/>
        </w:rPr>
        <w:t xml:space="preserve">     </w:t>
      </w:r>
      <w:r>
        <w:rPr>
          <w:rFonts w:hint="eastAsia" w:ascii="黑体" w:hAnsi="黑体" w:eastAsia="黑体" w:cs="黑体"/>
          <w:b/>
          <w:sz w:val="21"/>
          <w:szCs w:val="21"/>
          <w:highlight w:val="none"/>
        </w:rPr>
        <w:t>，投标有效期：</w:t>
      </w:r>
      <w:r>
        <w:rPr>
          <w:rFonts w:hint="eastAsia" w:hAnsi="宋体" w:cs="宋体"/>
          <w:sz w:val="21"/>
          <w:szCs w:val="21"/>
          <w:highlight w:val="none"/>
          <w:u w:val="single"/>
        </w:rPr>
        <w:t xml:space="preserve">      </w:t>
      </w:r>
      <w:r>
        <w:rPr>
          <w:rFonts w:hint="eastAsia" w:ascii="黑体" w:hAnsi="黑体" w:eastAsia="黑体" w:cs="黑体"/>
          <w:b/>
          <w:sz w:val="21"/>
          <w:szCs w:val="21"/>
          <w:highlight w:val="none"/>
        </w:rPr>
        <w:t>天，投标有效期延长的，本承诺书有效期相应顺延。</w:t>
      </w:r>
    </w:p>
    <w:p w14:paraId="21919923">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本公司（单位）承诺</w:t>
      </w:r>
    </w:p>
    <w:p w14:paraId="54384AE0">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（一）符合信用承诺制的办理条件，无不良信用记录或虚假承诺等情形。</w:t>
      </w:r>
    </w:p>
    <w:p w14:paraId="67601B3E">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（二）在此次招标活动中不发生以下情形:</w:t>
      </w:r>
    </w:p>
    <w:p w14:paraId="27CC26BB">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1.在开标后和投标有效期满之前撤销投标文件；</w:t>
      </w:r>
    </w:p>
    <w:p w14:paraId="203E0BAA">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2.在收到中标通知后，不能或拒绝在中标通知书规定的时间内与招标人签订合同；</w:t>
      </w:r>
    </w:p>
    <w:p w14:paraId="2AE413D6">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3.与招标人签订合同后，未在规定的时间内提交符合招标文件要求的履约担保；</w:t>
      </w:r>
    </w:p>
    <w:p w14:paraId="545B81DA">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4.法律、法规或部门规章、招标文件等规定的关于不予退还投标保证金的其他要求。</w:t>
      </w:r>
    </w:p>
    <w:p w14:paraId="3CBAACA0">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（三）自愿承担不实承诺的法律后果：</w:t>
      </w:r>
    </w:p>
    <w:p w14:paraId="0E59CEE9">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1.投标资格无效；</w:t>
      </w:r>
    </w:p>
    <w:p w14:paraId="65935519">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2.将失信行为记录到招标投标信用信息共享平台或公共资源交易服务平台予以公示，在公示期间内不参与南通市内项目的投标；给他人造成损失的，依法承担赔偿责任；违反相关法律法规的，交由相关行政监管部门处理；涉嫌犯罪的，依法移送司法机关。</w:t>
      </w:r>
    </w:p>
    <w:p w14:paraId="4A8BA88B">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3.自发现承诺内容失信行为之日起5个工作日内向招标人补缴投标保证金，逾期补缴的的视为失信行为记入信用记录；给他人造成损失的，依法承担赔偿责任。</w:t>
      </w:r>
    </w:p>
    <w:p w14:paraId="1C16FB3D">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4.</w:t>
      </w:r>
      <w:r>
        <w:rPr>
          <w:rFonts w:hint="eastAsia" w:ascii="黑体" w:hAnsi="黑体" w:eastAsia="黑体" w:cs="黑体"/>
          <w:b/>
          <w:sz w:val="21"/>
          <w:szCs w:val="21"/>
          <w:highlight w:val="none"/>
          <w:lang w:val="zh-CN"/>
        </w:rPr>
        <w:t>招标人依法提起诉讼的，相关诉讼费用（包括</w:t>
      </w:r>
      <w:r>
        <w:rPr>
          <w:rFonts w:hint="eastAsia" w:ascii="黑体" w:hAnsi="黑体" w:eastAsia="黑体" w:cs="黑体"/>
          <w:b/>
          <w:sz w:val="21"/>
          <w:szCs w:val="21"/>
          <w:highlight w:val="none"/>
        </w:rPr>
        <w:t>但不</w:t>
      </w:r>
      <w:r>
        <w:rPr>
          <w:rFonts w:hint="eastAsia" w:ascii="黑体" w:hAnsi="黑体" w:eastAsia="黑体" w:cs="黑体"/>
          <w:b/>
          <w:sz w:val="21"/>
          <w:szCs w:val="21"/>
          <w:highlight w:val="none"/>
          <w:lang w:val="zh-CN"/>
        </w:rPr>
        <w:t>限于案件受理费、律师费、申请费、差旅费等）由我公司承担，</w:t>
      </w:r>
      <w:r>
        <w:rPr>
          <w:rFonts w:hint="eastAsia" w:ascii="黑体" w:hAnsi="黑体" w:eastAsia="黑体" w:cs="黑体"/>
          <w:b/>
          <w:sz w:val="21"/>
          <w:szCs w:val="21"/>
          <w:highlight w:val="none"/>
        </w:rPr>
        <w:t>南通市内</w:t>
      </w:r>
      <w:r>
        <w:rPr>
          <w:rFonts w:hint="eastAsia" w:ascii="黑体" w:hAnsi="黑体" w:eastAsia="黑体" w:cs="黑体"/>
          <w:b/>
          <w:sz w:val="21"/>
          <w:szCs w:val="21"/>
          <w:highlight w:val="none"/>
          <w:lang w:val="zh-CN"/>
        </w:rPr>
        <w:t>各级公共资源交易中心、招标人有权暂缓退付我公司以现金方式缴纳的其他项目保证金，并</w:t>
      </w:r>
      <w:r>
        <w:rPr>
          <w:rFonts w:hint="eastAsia" w:ascii="黑体" w:hAnsi="黑体" w:eastAsia="黑体" w:cs="黑体"/>
          <w:b/>
          <w:sz w:val="21"/>
          <w:szCs w:val="21"/>
          <w:highlight w:val="none"/>
        </w:rPr>
        <w:t>配合</w:t>
      </w:r>
      <w:r>
        <w:rPr>
          <w:rFonts w:hint="eastAsia" w:ascii="黑体" w:hAnsi="黑体" w:eastAsia="黑体" w:cs="黑体"/>
          <w:b/>
          <w:sz w:val="21"/>
          <w:szCs w:val="21"/>
          <w:highlight w:val="none"/>
          <w:lang w:val="zh-CN"/>
        </w:rPr>
        <w:t>法院执行。</w:t>
      </w:r>
    </w:p>
    <w:p w14:paraId="55CC6495">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（四）上述承诺是自身真实的意思表示。</w:t>
      </w:r>
    </w:p>
    <w:p w14:paraId="6F5DFA71">
      <w:pPr>
        <w:widowControl/>
        <w:autoSpaceDE w:val="0"/>
        <w:autoSpaceDN w:val="0"/>
        <w:snapToGrid w:val="0"/>
        <w:spacing w:line="360" w:lineRule="auto"/>
        <w:ind w:right="522"/>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 xml:space="preserve">投 标 人(盖单位公章或电子章)：                         </w:t>
      </w:r>
    </w:p>
    <w:p w14:paraId="3776335D">
      <w:pPr>
        <w:widowControl/>
        <w:autoSpaceDE w:val="0"/>
        <w:autoSpaceDN w:val="0"/>
        <w:snapToGrid w:val="0"/>
        <w:spacing w:line="360" w:lineRule="auto"/>
        <w:ind w:right="522"/>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 xml:space="preserve">法定代表人或其委托代理人（亲笔签名或使用印章、签名章或其他电子制版签名）：          </w:t>
      </w:r>
    </w:p>
    <w:p w14:paraId="4EE8AD3F">
      <w:pPr>
        <w:widowControl/>
        <w:autoSpaceDE w:val="0"/>
        <w:autoSpaceDN w:val="0"/>
        <w:snapToGrid w:val="0"/>
        <w:spacing w:line="360" w:lineRule="auto"/>
        <w:ind w:left="108" w:right="522" w:firstLine="420"/>
        <w:jc w:val="left"/>
        <w:rPr>
          <w:rFonts w:hint="eastAsia" w:ascii="黑体" w:hAnsi="黑体" w:eastAsia="黑体" w:cs="黑体"/>
          <w:b/>
          <w:sz w:val="21"/>
          <w:szCs w:val="21"/>
          <w:highlight w:val="none"/>
        </w:rPr>
      </w:pPr>
      <w:r>
        <w:rPr>
          <w:rFonts w:hint="eastAsia" w:ascii="黑体" w:hAnsi="黑体" w:eastAsia="黑体" w:cs="黑体"/>
          <w:b/>
          <w:sz w:val="21"/>
          <w:szCs w:val="21"/>
          <w:highlight w:val="none"/>
        </w:rPr>
        <w:t xml:space="preserve">                         年        月        日</w:t>
      </w:r>
    </w:p>
    <w:p w14:paraId="7778333A">
      <w:pPr>
        <w:ind w:firstLine="240" w:firstLineChars="100"/>
        <w:rPr>
          <w:rFonts w:hint="eastAsia" w:ascii="宋体" w:hAnsi="宋体" w:cs="宋体"/>
          <w:sz w:val="24"/>
          <w:szCs w:val="24"/>
          <w:highlight w:val="none"/>
        </w:rPr>
      </w:pPr>
    </w:p>
    <w:p w14:paraId="1C7DFBA5">
      <w:pPr>
        <w:pStyle w:val="20"/>
        <w:rPr>
          <w:highlight w:val="none"/>
        </w:rPr>
      </w:pPr>
    </w:p>
    <w:p w14:paraId="6F633D5E">
      <w:pPr>
        <w:topLinePunct/>
        <w:spacing w:line="360" w:lineRule="auto"/>
        <w:jc w:val="center"/>
        <w:rPr>
          <w:sz w:val="28"/>
          <w:szCs w:val="28"/>
          <w:highlight w:val="none"/>
        </w:rPr>
      </w:pPr>
      <w:r>
        <w:rPr>
          <w:highlight w:val="none"/>
        </w:rPr>
        <w:br w:type="page"/>
      </w:r>
    </w:p>
    <w:p w14:paraId="4E7EAD72">
      <w:pPr>
        <w:topLinePunct/>
        <w:spacing w:before="120" w:beforeLines="50" w:after="120" w:afterLines="50"/>
        <w:jc w:val="center"/>
        <w:rPr>
          <w:rFonts w:hint="eastAsia" w:ascii="宋体" w:hAnsi="宋体" w:eastAsia="宋体" w:cs="宋体"/>
          <w:sz w:val="32"/>
          <w:szCs w:val="32"/>
          <w:highlight w:val="none"/>
        </w:rPr>
      </w:pPr>
      <w:bookmarkStart w:id="115" w:name="_Hlk172061808"/>
      <w:r>
        <w:rPr>
          <w:rFonts w:hint="eastAsia" w:ascii="宋体" w:hAnsi="宋体" w:eastAsia="宋体" w:cs="宋体"/>
          <w:sz w:val="32"/>
          <w:szCs w:val="32"/>
          <w:highlight w:val="none"/>
          <w:lang w:val="en-US" w:eastAsia="zh-CN"/>
        </w:rPr>
        <w:t>四</w:t>
      </w:r>
      <w:r>
        <w:rPr>
          <w:rFonts w:hint="eastAsia" w:ascii="宋体" w:hAnsi="宋体" w:eastAsia="宋体" w:cs="宋体"/>
          <w:sz w:val="32"/>
          <w:szCs w:val="32"/>
          <w:highlight w:val="none"/>
        </w:rPr>
        <w:t>、施工组织设计</w:t>
      </w:r>
    </w:p>
    <w:p w14:paraId="4568FD33">
      <w:pPr>
        <w:widowControl/>
        <w:jc w:val="left"/>
        <w:rPr>
          <w:b/>
          <w:bCs/>
          <w:w w:val="99"/>
          <w:kern w:val="0"/>
          <w:sz w:val="21"/>
          <w:szCs w:val="21"/>
          <w:highlight w:val="none"/>
        </w:rPr>
      </w:pPr>
      <w:r>
        <w:rPr>
          <w:rFonts w:hint="eastAsia"/>
          <w:b/>
          <w:bCs/>
          <w:w w:val="99"/>
          <w:kern w:val="0"/>
          <w:sz w:val="21"/>
          <w:szCs w:val="21"/>
          <w:highlight w:val="none"/>
        </w:rPr>
        <w:t>按评分点编制</w:t>
      </w:r>
    </w:p>
    <w:p w14:paraId="407BB0F7">
      <w:pPr>
        <w:widowControl/>
        <w:jc w:val="left"/>
        <w:rPr>
          <w:b/>
          <w:bCs/>
          <w:w w:val="99"/>
          <w:kern w:val="0"/>
          <w:sz w:val="28"/>
          <w:szCs w:val="28"/>
          <w:highlight w:val="none"/>
        </w:rPr>
      </w:pPr>
      <w:r>
        <w:rPr>
          <w:b/>
          <w:bCs/>
          <w:w w:val="99"/>
          <w:kern w:val="0"/>
          <w:sz w:val="28"/>
          <w:szCs w:val="28"/>
          <w:highlight w:val="none"/>
        </w:rPr>
        <w:br w:type="page"/>
      </w:r>
    </w:p>
    <w:p w14:paraId="7EEA92E3">
      <w:pPr>
        <w:widowControl/>
        <w:jc w:val="left"/>
        <w:rPr>
          <w:rFonts w:eastAsia="黑体" w:cs="黑体"/>
          <w:sz w:val="36"/>
          <w:szCs w:val="36"/>
          <w:highlight w:val="none"/>
        </w:rPr>
      </w:pPr>
    </w:p>
    <w:p w14:paraId="03B378A0">
      <w:pPr>
        <w:topLinePunct/>
        <w:spacing w:before="120" w:beforeLines="50" w:after="120" w:afterLines="50"/>
        <w:jc w:val="center"/>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五</w:t>
      </w:r>
      <w:r>
        <w:rPr>
          <w:rFonts w:hint="eastAsia" w:ascii="宋体" w:hAnsi="宋体" w:eastAsia="宋体" w:cs="宋体"/>
          <w:sz w:val="32"/>
          <w:szCs w:val="32"/>
          <w:highlight w:val="none"/>
        </w:rPr>
        <w:t>、项目管理机构</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14:paraId="1870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5B193838">
            <w:pPr>
              <w:rPr>
                <w:rFonts w:cs="宋体"/>
                <w:sz w:val="24"/>
                <w:szCs w:val="24"/>
                <w:highlight w:val="none"/>
              </w:rPr>
            </w:pPr>
            <w:r>
              <w:rPr>
                <w:rFonts w:hint="eastAsia" w:cs="宋体"/>
                <w:sz w:val="24"/>
                <w:szCs w:val="24"/>
                <w:highlight w:val="none"/>
              </w:rPr>
              <w:t>拟为承包本标段工程设立的组织机构及框图方式表示。</w:t>
            </w:r>
          </w:p>
          <w:p w14:paraId="132270EF">
            <w:pPr>
              <w:topLinePunct/>
              <w:spacing w:before="120" w:beforeLines="50" w:after="120" w:afterLines="50"/>
              <w:jc w:val="center"/>
              <w:rPr>
                <w:highlight w:val="none"/>
              </w:rPr>
            </w:pPr>
          </w:p>
          <w:p w14:paraId="190C9F60">
            <w:pPr>
              <w:pStyle w:val="20"/>
              <w:rPr>
                <w:highlight w:val="none"/>
              </w:rPr>
            </w:pPr>
          </w:p>
          <w:p w14:paraId="5F00ADFF">
            <w:pPr>
              <w:pStyle w:val="20"/>
              <w:rPr>
                <w:highlight w:val="none"/>
              </w:rPr>
            </w:pPr>
          </w:p>
          <w:p w14:paraId="5147E5FD">
            <w:pPr>
              <w:pStyle w:val="20"/>
              <w:rPr>
                <w:highlight w:val="none"/>
              </w:rPr>
            </w:pPr>
          </w:p>
          <w:p w14:paraId="3401CA70">
            <w:pPr>
              <w:pStyle w:val="20"/>
              <w:rPr>
                <w:highlight w:val="none"/>
              </w:rPr>
            </w:pPr>
          </w:p>
          <w:p w14:paraId="179970B1">
            <w:pPr>
              <w:pStyle w:val="20"/>
              <w:rPr>
                <w:highlight w:val="none"/>
              </w:rPr>
            </w:pPr>
          </w:p>
          <w:p w14:paraId="703A47BC">
            <w:pPr>
              <w:pStyle w:val="20"/>
              <w:rPr>
                <w:highlight w:val="none"/>
              </w:rPr>
            </w:pPr>
          </w:p>
          <w:p w14:paraId="16568141">
            <w:pPr>
              <w:pStyle w:val="20"/>
              <w:rPr>
                <w:highlight w:val="none"/>
              </w:rPr>
            </w:pPr>
          </w:p>
          <w:p w14:paraId="6241A9AC">
            <w:pPr>
              <w:pStyle w:val="20"/>
              <w:rPr>
                <w:highlight w:val="none"/>
              </w:rPr>
            </w:pPr>
          </w:p>
          <w:p w14:paraId="54C923D6">
            <w:pPr>
              <w:pStyle w:val="20"/>
              <w:rPr>
                <w:highlight w:val="none"/>
              </w:rPr>
            </w:pPr>
          </w:p>
          <w:p w14:paraId="4FC7C34B">
            <w:pPr>
              <w:pStyle w:val="20"/>
              <w:rPr>
                <w:highlight w:val="none"/>
              </w:rPr>
            </w:pPr>
          </w:p>
          <w:p w14:paraId="167A20C3">
            <w:pPr>
              <w:pStyle w:val="20"/>
              <w:rPr>
                <w:highlight w:val="none"/>
              </w:rPr>
            </w:pPr>
          </w:p>
          <w:p w14:paraId="57588E00">
            <w:pPr>
              <w:pStyle w:val="20"/>
              <w:rPr>
                <w:highlight w:val="none"/>
              </w:rPr>
            </w:pPr>
          </w:p>
          <w:p w14:paraId="5236B5FC">
            <w:pPr>
              <w:pStyle w:val="20"/>
              <w:rPr>
                <w:highlight w:val="none"/>
              </w:rPr>
            </w:pPr>
          </w:p>
          <w:p w14:paraId="5F57215D">
            <w:pPr>
              <w:pStyle w:val="20"/>
              <w:rPr>
                <w:highlight w:val="none"/>
              </w:rPr>
            </w:pPr>
          </w:p>
          <w:p w14:paraId="40A61EEB">
            <w:pPr>
              <w:pStyle w:val="20"/>
              <w:rPr>
                <w:highlight w:val="none"/>
              </w:rPr>
            </w:pPr>
          </w:p>
          <w:p w14:paraId="4CFF72C2">
            <w:pPr>
              <w:pStyle w:val="20"/>
              <w:rPr>
                <w:highlight w:val="none"/>
              </w:rPr>
            </w:pPr>
          </w:p>
          <w:p w14:paraId="224F1740">
            <w:pPr>
              <w:pStyle w:val="20"/>
              <w:rPr>
                <w:highlight w:val="none"/>
              </w:rPr>
            </w:pPr>
          </w:p>
        </w:tc>
      </w:tr>
      <w:tr w14:paraId="06641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35EE4E7B">
            <w:pPr>
              <w:rPr>
                <w:rFonts w:cs="宋体"/>
                <w:highlight w:val="none"/>
              </w:rPr>
            </w:pPr>
            <w:r>
              <w:rPr>
                <w:rFonts w:hint="eastAsia" w:cs="宋体"/>
                <w:highlight w:val="none"/>
              </w:rPr>
              <w:t>说明：</w:t>
            </w:r>
          </w:p>
          <w:p w14:paraId="66B3F580">
            <w:pPr>
              <w:pStyle w:val="20"/>
              <w:rPr>
                <w:highlight w:val="none"/>
              </w:rPr>
            </w:pPr>
          </w:p>
          <w:p w14:paraId="78534F2C">
            <w:pPr>
              <w:pStyle w:val="20"/>
              <w:rPr>
                <w:highlight w:val="none"/>
              </w:rPr>
            </w:pPr>
          </w:p>
          <w:p w14:paraId="0C72FFAF">
            <w:pPr>
              <w:pStyle w:val="20"/>
              <w:rPr>
                <w:highlight w:val="none"/>
              </w:rPr>
            </w:pPr>
          </w:p>
          <w:p w14:paraId="69874691">
            <w:pPr>
              <w:pStyle w:val="20"/>
              <w:rPr>
                <w:highlight w:val="none"/>
              </w:rPr>
            </w:pPr>
          </w:p>
          <w:p w14:paraId="6B67FB6A">
            <w:pPr>
              <w:pStyle w:val="20"/>
              <w:rPr>
                <w:highlight w:val="none"/>
              </w:rPr>
            </w:pPr>
          </w:p>
        </w:tc>
      </w:tr>
    </w:tbl>
    <w:p w14:paraId="6A954F1E">
      <w:pPr>
        <w:spacing w:line="400" w:lineRule="exact"/>
        <w:rPr>
          <w:b/>
          <w:bCs/>
          <w:sz w:val="30"/>
          <w:szCs w:val="30"/>
          <w:highlight w:val="none"/>
        </w:rPr>
      </w:pPr>
    </w:p>
    <w:p w14:paraId="196BCBD9">
      <w:pPr>
        <w:rPr>
          <w:highlight w:val="none"/>
        </w:rPr>
        <w:sectPr>
          <w:footerReference r:id="rId13" w:type="default"/>
          <w:type w:val="continuous"/>
          <w:pgSz w:w="11905" w:h="16838"/>
          <w:pgMar w:top="1077" w:right="1134" w:bottom="1077" w:left="1134" w:header="850" w:footer="992" w:gutter="0"/>
          <w:pgNumType w:fmt="decimal"/>
          <w:cols w:space="0" w:num="1"/>
          <w:docGrid w:linePitch="312" w:charSpace="0"/>
        </w:sectPr>
      </w:pPr>
    </w:p>
    <w:p w14:paraId="3775492E">
      <w:pPr>
        <w:rPr>
          <w:rFonts w:eastAsia="黑体" w:cs="黑体"/>
          <w:sz w:val="36"/>
          <w:szCs w:val="36"/>
          <w:highlight w:val="none"/>
        </w:rPr>
      </w:pPr>
      <w:r>
        <w:rPr>
          <w:rFonts w:eastAsia="黑体" w:cs="黑体"/>
          <w:sz w:val="36"/>
          <w:szCs w:val="36"/>
          <w:highlight w:val="none"/>
        </w:rPr>
        <w:br w:type="page"/>
      </w:r>
    </w:p>
    <w:p w14:paraId="5CEB6B29">
      <w:pPr>
        <w:widowControl/>
        <w:jc w:val="left"/>
        <w:rPr>
          <w:rFonts w:eastAsia="黑体" w:cs="黑体"/>
          <w:sz w:val="36"/>
          <w:szCs w:val="36"/>
          <w:highlight w:val="none"/>
        </w:rPr>
      </w:pPr>
    </w:p>
    <w:p w14:paraId="0BF946FF">
      <w:pPr>
        <w:topLinePunct/>
        <w:spacing w:before="120" w:beforeLines="50" w:after="120" w:afterLines="50"/>
        <w:jc w:val="center"/>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、拟分包项目情况表</w:t>
      </w:r>
    </w:p>
    <w:tbl>
      <w:tblPr>
        <w:tblStyle w:val="5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6"/>
        <w:gridCol w:w="2528"/>
        <w:gridCol w:w="2526"/>
        <w:gridCol w:w="2271"/>
      </w:tblGrid>
      <w:tr w14:paraId="1BB2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282" w:type="pct"/>
            <w:vAlign w:val="center"/>
          </w:tcPr>
          <w:p w14:paraId="44D32441">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分包的工程项目</w:t>
            </w:r>
          </w:p>
        </w:tc>
        <w:tc>
          <w:tcPr>
            <w:tcW w:w="1282" w:type="pct"/>
            <w:vAlign w:val="center"/>
          </w:tcPr>
          <w:p w14:paraId="6C17D39A">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主要工程内容</w:t>
            </w:r>
          </w:p>
        </w:tc>
        <w:tc>
          <w:tcPr>
            <w:tcW w:w="1282" w:type="pct"/>
            <w:vAlign w:val="center"/>
          </w:tcPr>
          <w:p w14:paraId="1CD6129B">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预计造价（万元）</w:t>
            </w:r>
          </w:p>
        </w:tc>
        <w:tc>
          <w:tcPr>
            <w:tcW w:w="1152" w:type="pct"/>
            <w:vMerge w:val="restart"/>
            <w:vAlign w:val="center"/>
          </w:tcPr>
          <w:p w14:paraId="1DB17CB7">
            <w:pPr>
              <w:widowControl/>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注：若无分包计划，则投标人应在本表填写“无”</w:t>
            </w:r>
          </w:p>
        </w:tc>
      </w:tr>
      <w:tr w14:paraId="28B1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9F2840C">
            <w:pPr>
              <w:widowControl/>
              <w:ind w:firstLine="840" w:firstLineChars="400"/>
              <w:rPr>
                <w:rFonts w:hint="eastAsia" w:asciiTheme="minorEastAsia" w:hAnsiTheme="minorEastAsia" w:eastAsiaTheme="minorEastAsia" w:cstheme="minorEastAsia"/>
                <w:kern w:val="0"/>
                <w:sz w:val="21"/>
                <w:szCs w:val="21"/>
                <w:highlight w:val="none"/>
              </w:rPr>
            </w:pPr>
          </w:p>
        </w:tc>
        <w:tc>
          <w:tcPr>
            <w:tcW w:w="1282" w:type="pct"/>
            <w:vAlign w:val="center"/>
          </w:tcPr>
          <w:p w14:paraId="1C58E81F">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12FBE18B">
            <w:pPr>
              <w:widowControl/>
              <w:rPr>
                <w:rFonts w:hint="eastAsia" w:asciiTheme="minorEastAsia" w:hAnsiTheme="minorEastAsia" w:eastAsiaTheme="minorEastAsia" w:cstheme="minorEastAsia"/>
                <w:kern w:val="0"/>
                <w:sz w:val="21"/>
                <w:szCs w:val="21"/>
                <w:highlight w:val="none"/>
              </w:rPr>
            </w:pPr>
          </w:p>
        </w:tc>
        <w:tc>
          <w:tcPr>
            <w:tcW w:w="1152" w:type="pct"/>
            <w:vMerge w:val="continue"/>
            <w:vAlign w:val="center"/>
          </w:tcPr>
          <w:p w14:paraId="0166139F">
            <w:pPr>
              <w:widowControl/>
              <w:rPr>
                <w:rFonts w:hint="eastAsia" w:asciiTheme="minorEastAsia" w:hAnsiTheme="minorEastAsia" w:eastAsiaTheme="minorEastAsia" w:cstheme="minorEastAsia"/>
                <w:kern w:val="0"/>
                <w:sz w:val="21"/>
                <w:szCs w:val="21"/>
                <w:highlight w:val="none"/>
              </w:rPr>
            </w:pPr>
          </w:p>
        </w:tc>
      </w:tr>
      <w:tr w14:paraId="74F1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019F551F">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368873EE">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1BAA484F">
            <w:pPr>
              <w:widowControl/>
              <w:rPr>
                <w:rFonts w:hint="eastAsia" w:asciiTheme="minorEastAsia" w:hAnsiTheme="minorEastAsia" w:eastAsiaTheme="minorEastAsia" w:cstheme="minorEastAsia"/>
                <w:kern w:val="0"/>
                <w:sz w:val="21"/>
                <w:szCs w:val="21"/>
                <w:highlight w:val="none"/>
              </w:rPr>
            </w:pPr>
          </w:p>
        </w:tc>
        <w:tc>
          <w:tcPr>
            <w:tcW w:w="1152" w:type="pct"/>
            <w:vMerge w:val="continue"/>
            <w:vAlign w:val="center"/>
          </w:tcPr>
          <w:p w14:paraId="0BAC206B">
            <w:pPr>
              <w:widowControl/>
              <w:rPr>
                <w:rFonts w:hint="eastAsia" w:asciiTheme="minorEastAsia" w:hAnsiTheme="minorEastAsia" w:eastAsiaTheme="minorEastAsia" w:cstheme="minorEastAsia"/>
                <w:kern w:val="0"/>
                <w:sz w:val="21"/>
                <w:szCs w:val="21"/>
                <w:highlight w:val="none"/>
              </w:rPr>
            </w:pPr>
          </w:p>
        </w:tc>
      </w:tr>
      <w:tr w14:paraId="5AAE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0E354B14">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4265864E">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2D5836F6">
            <w:pPr>
              <w:widowControl/>
              <w:rPr>
                <w:rFonts w:hint="eastAsia" w:asciiTheme="minorEastAsia" w:hAnsiTheme="minorEastAsia" w:eastAsiaTheme="minorEastAsia" w:cstheme="minorEastAsia"/>
                <w:kern w:val="0"/>
                <w:sz w:val="21"/>
                <w:szCs w:val="21"/>
                <w:highlight w:val="none"/>
              </w:rPr>
            </w:pPr>
          </w:p>
        </w:tc>
        <w:tc>
          <w:tcPr>
            <w:tcW w:w="1152" w:type="pct"/>
            <w:vMerge w:val="continue"/>
            <w:vAlign w:val="center"/>
          </w:tcPr>
          <w:p w14:paraId="31565178">
            <w:pPr>
              <w:widowControl/>
              <w:rPr>
                <w:rFonts w:hint="eastAsia" w:asciiTheme="minorEastAsia" w:hAnsiTheme="minorEastAsia" w:eastAsiaTheme="minorEastAsia" w:cstheme="minorEastAsia"/>
                <w:kern w:val="0"/>
                <w:sz w:val="21"/>
                <w:szCs w:val="21"/>
                <w:highlight w:val="none"/>
              </w:rPr>
            </w:pPr>
          </w:p>
        </w:tc>
      </w:tr>
      <w:tr w14:paraId="409C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093A06CD">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4662C746">
            <w:pPr>
              <w:widowControl/>
              <w:rPr>
                <w:rFonts w:hint="eastAsia" w:asciiTheme="minorEastAsia" w:hAnsiTheme="minorEastAsia" w:eastAsiaTheme="minorEastAsia" w:cstheme="minorEastAsia"/>
                <w:kern w:val="0"/>
                <w:sz w:val="21"/>
                <w:szCs w:val="21"/>
                <w:highlight w:val="none"/>
              </w:rPr>
            </w:pPr>
          </w:p>
        </w:tc>
        <w:tc>
          <w:tcPr>
            <w:tcW w:w="1282" w:type="pct"/>
          </w:tcPr>
          <w:p w14:paraId="794FC838">
            <w:pPr>
              <w:widowControl/>
              <w:rPr>
                <w:rFonts w:hint="eastAsia" w:asciiTheme="minorEastAsia" w:hAnsiTheme="minorEastAsia" w:eastAsiaTheme="minorEastAsia" w:cstheme="minorEastAsia"/>
                <w:kern w:val="0"/>
                <w:sz w:val="21"/>
                <w:szCs w:val="21"/>
                <w:highlight w:val="none"/>
              </w:rPr>
            </w:pPr>
          </w:p>
        </w:tc>
        <w:tc>
          <w:tcPr>
            <w:tcW w:w="1152" w:type="pct"/>
            <w:vMerge w:val="continue"/>
          </w:tcPr>
          <w:p w14:paraId="35F9ECCB">
            <w:pPr>
              <w:widowControl/>
              <w:ind w:firstLine="315" w:firstLineChars="150"/>
              <w:rPr>
                <w:rFonts w:hint="eastAsia" w:asciiTheme="minorEastAsia" w:hAnsiTheme="minorEastAsia" w:eastAsiaTheme="minorEastAsia" w:cstheme="minorEastAsia"/>
                <w:kern w:val="0"/>
                <w:sz w:val="21"/>
                <w:szCs w:val="21"/>
                <w:highlight w:val="none"/>
              </w:rPr>
            </w:pPr>
          </w:p>
        </w:tc>
      </w:tr>
      <w:tr w14:paraId="3E25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6717E8D3">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2F216C54">
            <w:pPr>
              <w:widowControl/>
              <w:rPr>
                <w:rFonts w:hint="eastAsia" w:asciiTheme="minorEastAsia" w:hAnsiTheme="minorEastAsia" w:eastAsiaTheme="minorEastAsia" w:cstheme="minorEastAsia"/>
                <w:kern w:val="0"/>
                <w:sz w:val="21"/>
                <w:szCs w:val="21"/>
                <w:highlight w:val="none"/>
              </w:rPr>
            </w:pPr>
          </w:p>
        </w:tc>
        <w:tc>
          <w:tcPr>
            <w:tcW w:w="1282" w:type="pct"/>
          </w:tcPr>
          <w:p w14:paraId="6DD6CE34">
            <w:pPr>
              <w:widowControl/>
              <w:rPr>
                <w:rFonts w:hint="eastAsia" w:asciiTheme="minorEastAsia" w:hAnsiTheme="minorEastAsia" w:eastAsiaTheme="minorEastAsia" w:cstheme="minorEastAsia"/>
                <w:kern w:val="0"/>
                <w:sz w:val="21"/>
                <w:szCs w:val="21"/>
                <w:highlight w:val="none"/>
              </w:rPr>
            </w:pPr>
          </w:p>
        </w:tc>
        <w:tc>
          <w:tcPr>
            <w:tcW w:w="1152" w:type="pct"/>
            <w:vMerge w:val="continue"/>
          </w:tcPr>
          <w:p w14:paraId="21005B58">
            <w:pPr>
              <w:widowControl/>
              <w:rPr>
                <w:rFonts w:hint="eastAsia" w:asciiTheme="minorEastAsia" w:hAnsiTheme="minorEastAsia" w:eastAsiaTheme="minorEastAsia" w:cstheme="minorEastAsia"/>
                <w:kern w:val="0"/>
                <w:sz w:val="21"/>
                <w:szCs w:val="21"/>
                <w:highlight w:val="none"/>
              </w:rPr>
            </w:pPr>
          </w:p>
        </w:tc>
      </w:tr>
      <w:tr w14:paraId="3C84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103CA4A1">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7B696CE4">
            <w:pPr>
              <w:widowControl/>
              <w:rPr>
                <w:rFonts w:hint="eastAsia" w:asciiTheme="minorEastAsia" w:hAnsiTheme="minorEastAsia" w:eastAsiaTheme="minorEastAsia" w:cstheme="minorEastAsia"/>
                <w:kern w:val="0"/>
                <w:sz w:val="21"/>
                <w:szCs w:val="21"/>
                <w:highlight w:val="none"/>
              </w:rPr>
            </w:pPr>
          </w:p>
        </w:tc>
        <w:tc>
          <w:tcPr>
            <w:tcW w:w="1282" w:type="pct"/>
          </w:tcPr>
          <w:p w14:paraId="7902D9B7">
            <w:pPr>
              <w:widowControl/>
              <w:rPr>
                <w:rFonts w:hint="eastAsia" w:asciiTheme="minorEastAsia" w:hAnsiTheme="minorEastAsia" w:eastAsiaTheme="minorEastAsia" w:cstheme="minorEastAsia"/>
                <w:kern w:val="0"/>
                <w:sz w:val="21"/>
                <w:szCs w:val="21"/>
                <w:highlight w:val="none"/>
              </w:rPr>
            </w:pPr>
          </w:p>
        </w:tc>
        <w:tc>
          <w:tcPr>
            <w:tcW w:w="1152" w:type="pct"/>
            <w:vMerge w:val="continue"/>
          </w:tcPr>
          <w:p w14:paraId="7379D922">
            <w:pPr>
              <w:widowControl/>
              <w:rPr>
                <w:rFonts w:hint="eastAsia" w:asciiTheme="minorEastAsia" w:hAnsiTheme="minorEastAsia" w:eastAsiaTheme="minorEastAsia" w:cstheme="minorEastAsia"/>
                <w:kern w:val="0"/>
                <w:sz w:val="21"/>
                <w:szCs w:val="21"/>
                <w:highlight w:val="none"/>
              </w:rPr>
            </w:pPr>
          </w:p>
        </w:tc>
      </w:tr>
      <w:tr w14:paraId="6805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4E7A4C0E">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6BA9EE43">
            <w:pPr>
              <w:widowControl/>
              <w:rPr>
                <w:rFonts w:hint="eastAsia" w:asciiTheme="minorEastAsia" w:hAnsiTheme="minorEastAsia" w:eastAsiaTheme="minorEastAsia" w:cstheme="minorEastAsia"/>
                <w:kern w:val="0"/>
                <w:sz w:val="21"/>
                <w:szCs w:val="21"/>
                <w:highlight w:val="none"/>
              </w:rPr>
            </w:pPr>
          </w:p>
        </w:tc>
        <w:tc>
          <w:tcPr>
            <w:tcW w:w="1282" w:type="pct"/>
          </w:tcPr>
          <w:p w14:paraId="3EF49DF3">
            <w:pPr>
              <w:widowControl/>
              <w:rPr>
                <w:rFonts w:hint="eastAsia" w:asciiTheme="minorEastAsia" w:hAnsiTheme="minorEastAsia" w:eastAsiaTheme="minorEastAsia" w:cstheme="minorEastAsia"/>
                <w:kern w:val="0"/>
                <w:sz w:val="21"/>
                <w:szCs w:val="21"/>
                <w:highlight w:val="none"/>
              </w:rPr>
            </w:pPr>
          </w:p>
        </w:tc>
        <w:tc>
          <w:tcPr>
            <w:tcW w:w="1152" w:type="pct"/>
            <w:vMerge w:val="continue"/>
          </w:tcPr>
          <w:p w14:paraId="404A8EDE">
            <w:pPr>
              <w:widowControl/>
              <w:rPr>
                <w:rFonts w:hint="eastAsia" w:asciiTheme="minorEastAsia" w:hAnsiTheme="minorEastAsia" w:eastAsiaTheme="minorEastAsia" w:cstheme="minorEastAsia"/>
                <w:kern w:val="0"/>
                <w:sz w:val="21"/>
                <w:szCs w:val="21"/>
                <w:highlight w:val="none"/>
              </w:rPr>
            </w:pPr>
          </w:p>
        </w:tc>
      </w:tr>
      <w:tr w14:paraId="23EA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3C7AB7C5">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68A5C6B7">
            <w:pPr>
              <w:widowControl/>
              <w:rPr>
                <w:rFonts w:hint="eastAsia" w:asciiTheme="minorEastAsia" w:hAnsiTheme="minorEastAsia" w:eastAsiaTheme="minorEastAsia" w:cstheme="minorEastAsia"/>
                <w:kern w:val="0"/>
                <w:sz w:val="21"/>
                <w:szCs w:val="21"/>
                <w:highlight w:val="none"/>
              </w:rPr>
            </w:pPr>
          </w:p>
        </w:tc>
        <w:tc>
          <w:tcPr>
            <w:tcW w:w="1282" w:type="pct"/>
          </w:tcPr>
          <w:p w14:paraId="3C1ED4B8">
            <w:pPr>
              <w:widowControl/>
              <w:rPr>
                <w:rFonts w:hint="eastAsia" w:asciiTheme="minorEastAsia" w:hAnsiTheme="minorEastAsia" w:eastAsiaTheme="minorEastAsia" w:cstheme="minorEastAsia"/>
                <w:kern w:val="0"/>
                <w:sz w:val="21"/>
                <w:szCs w:val="21"/>
                <w:highlight w:val="none"/>
              </w:rPr>
            </w:pPr>
          </w:p>
        </w:tc>
        <w:tc>
          <w:tcPr>
            <w:tcW w:w="1152" w:type="pct"/>
            <w:vMerge w:val="continue"/>
          </w:tcPr>
          <w:p w14:paraId="174A2200">
            <w:pPr>
              <w:widowControl/>
              <w:rPr>
                <w:rFonts w:hint="eastAsia" w:asciiTheme="minorEastAsia" w:hAnsiTheme="minorEastAsia" w:eastAsiaTheme="minorEastAsia" w:cstheme="minorEastAsia"/>
                <w:kern w:val="0"/>
                <w:sz w:val="21"/>
                <w:szCs w:val="21"/>
                <w:highlight w:val="none"/>
              </w:rPr>
            </w:pPr>
          </w:p>
        </w:tc>
      </w:tr>
      <w:tr w14:paraId="606F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4AAA8EBA">
            <w:pPr>
              <w:widowControl/>
              <w:rPr>
                <w:rFonts w:hint="eastAsia" w:asciiTheme="minorEastAsia" w:hAnsiTheme="minorEastAsia" w:eastAsiaTheme="minorEastAsia" w:cstheme="minorEastAsia"/>
                <w:kern w:val="0"/>
                <w:sz w:val="21"/>
                <w:szCs w:val="21"/>
                <w:highlight w:val="none"/>
              </w:rPr>
            </w:pPr>
          </w:p>
        </w:tc>
        <w:tc>
          <w:tcPr>
            <w:tcW w:w="1282" w:type="pct"/>
            <w:vAlign w:val="center"/>
          </w:tcPr>
          <w:p w14:paraId="5D80D739">
            <w:pPr>
              <w:widowControl/>
              <w:rPr>
                <w:rFonts w:hint="eastAsia" w:asciiTheme="minorEastAsia" w:hAnsiTheme="minorEastAsia" w:eastAsiaTheme="minorEastAsia" w:cstheme="minorEastAsia"/>
                <w:kern w:val="0"/>
                <w:sz w:val="21"/>
                <w:szCs w:val="21"/>
                <w:highlight w:val="none"/>
              </w:rPr>
            </w:pPr>
          </w:p>
        </w:tc>
        <w:tc>
          <w:tcPr>
            <w:tcW w:w="1282" w:type="pct"/>
          </w:tcPr>
          <w:p w14:paraId="5C55A55C">
            <w:pPr>
              <w:widowControl/>
              <w:rPr>
                <w:rFonts w:hint="eastAsia" w:asciiTheme="minorEastAsia" w:hAnsiTheme="minorEastAsia" w:eastAsiaTheme="minorEastAsia" w:cstheme="minorEastAsia"/>
                <w:kern w:val="0"/>
                <w:sz w:val="21"/>
                <w:szCs w:val="21"/>
                <w:highlight w:val="none"/>
              </w:rPr>
            </w:pPr>
          </w:p>
        </w:tc>
        <w:tc>
          <w:tcPr>
            <w:tcW w:w="1152" w:type="pct"/>
            <w:vMerge w:val="continue"/>
          </w:tcPr>
          <w:p w14:paraId="047A4DB7">
            <w:pPr>
              <w:widowControl/>
              <w:rPr>
                <w:rFonts w:hint="eastAsia" w:asciiTheme="minorEastAsia" w:hAnsiTheme="minorEastAsia" w:eastAsiaTheme="minorEastAsia" w:cstheme="minorEastAsia"/>
                <w:kern w:val="0"/>
                <w:sz w:val="21"/>
                <w:szCs w:val="21"/>
                <w:highlight w:val="none"/>
              </w:rPr>
            </w:pPr>
          </w:p>
        </w:tc>
      </w:tr>
      <w:tr w14:paraId="3AAF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FE46494">
            <w:pPr>
              <w:pStyle w:val="20"/>
              <w:ind w:firstLine="602"/>
              <w:rPr>
                <w:rFonts w:hint="eastAsia" w:asciiTheme="minorEastAsia" w:hAnsiTheme="minorEastAsia" w:eastAsiaTheme="minorEastAsia" w:cstheme="minorEastAsia"/>
                <w:b/>
                <w:bCs/>
                <w:sz w:val="21"/>
                <w:szCs w:val="21"/>
                <w:highlight w:val="none"/>
              </w:rPr>
            </w:pPr>
          </w:p>
        </w:tc>
        <w:tc>
          <w:tcPr>
            <w:tcW w:w="1282" w:type="pct"/>
            <w:vAlign w:val="center"/>
          </w:tcPr>
          <w:p w14:paraId="7E171183">
            <w:pPr>
              <w:pStyle w:val="20"/>
              <w:ind w:firstLine="602"/>
              <w:rPr>
                <w:rFonts w:hint="eastAsia" w:asciiTheme="minorEastAsia" w:hAnsiTheme="minorEastAsia" w:eastAsiaTheme="minorEastAsia" w:cstheme="minorEastAsia"/>
                <w:b/>
                <w:bCs/>
                <w:sz w:val="21"/>
                <w:szCs w:val="21"/>
                <w:highlight w:val="none"/>
              </w:rPr>
            </w:pPr>
          </w:p>
        </w:tc>
        <w:tc>
          <w:tcPr>
            <w:tcW w:w="1282" w:type="pct"/>
          </w:tcPr>
          <w:p w14:paraId="2811243C">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1AE6DCF6">
            <w:pPr>
              <w:pStyle w:val="20"/>
              <w:ind w:firstLine="602"/>
              <w:rPr>
                <w:rFonts w:hint="eastAsia" w:asciiTheme="minorEastAsia" w:hAnsiTheme="minorEastAsia" w:eastAsiaTheme="minorEastAsia" w:cstheme="minorEastAsia"/>
                <w:b/>
                <w:bCs/>
                <w:sz w:val="21"/>
                <w:szCs w:val="21"/>
                <w:highlight w:val="none"/>
              </w:rPr>
            </w:pPr>
          </w:p>
        </w:tc>
      </w:tr>
      <w:tr w14:paraId="762E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699CDEE2">
            <w:pPr>
              <w:pStyle w:val="20"/>
              <w:ind w:firstLine="602"/>
              <w:rPr>
                <w:rFonts w:hint="eastAsia" w:asciiTheme="minorEastAsia" w:hAnsiTheme="minorEastAsia" w:eastAsiaTheme="minorEastAsia" w:cstheme="minorEastAsia"/>
                <w:b/>
                <w:bCs/>
                <w:sz w:val="21"/>
                <w:szCs w:val="21"/>
                <w:highlight w:val="none"/>
              </w:rPr>
            </w:pPr>
          </w:p>
        </w:tc>
        <w:tc>
          <w:tcPr>
            <w:tcW w:w="1282" w:type="pct"/>
            <w:vAlign w:val="center"/>
          </w:tcPr>
          <w:p w14:paraId="0FF74AB9">
            <w:pPr>
              <w:pStyle w:val="20"/>
              <w:ind w:firstLine="602"/>
              <w:rPr>
                <w:rFonts w:hint="eastAsia" w:asciiTheme="minorEastAsia" w:hAnsiTheme="minorEastAsia" w:eastAsiaTheme="minorEastAsia" w:cstheme="minorEastAsia"/>
                <w:b/>
                <w:bCs/>
                <w:sz w:val="21"/>
                <w:szCs w:val="21"/>
                <w:highlight w:val="none"/>
              </w:rPr>
            </w:pPr>
          </w:p>
        </w:tc>
        <w:tc>
          <w:tcPr>
            <w:tcW w:w="1282" w:type="pct"/>
          </w:tcPr>
          <w:p w14:paraId="163E25EC">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0DC23A6A">
            <w:pPr>
              <w:pStyle w:val="20"/>
              <w:ind w:firstLine="602"/>
              <w:rPr>
                <w:rFonts w:hint="eastAsia" w:asciiTheme="minorEastAsia" w:hAnsiTheme="minorEastAsia" w:eastAsiaTheme="minorEastAsia" w:cstheme="minorEastAsia"/>
                <w:b/>
                <w:bCs/>
                <w:sz w:val="21"/>
                <w:szCs w:val="21"/>
                <w:highlight w:val="none"/>
              </w:rPr>
            </w:pPr>
          </w:p>
        </w:tc>
      </w:tr>
      <w:tr w14:paraId="42CD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21D93E1A">
            <w:pPr>
              <w:pStyle w:val="20"/>
              <w:ind w:firstLine="602"/>
              <w:rPr>
                <w:rFonts w:hint="eastAsia" w:asciiTheme="minorEastAsia" w:hAnsiTheme="minorEastAsia" w:eastAsiaTheme="minorEastAsia" w:cstheme="minorEastAsia"/>
                <w:b/>
                <w:bCs/>
                <w:sz w:val="21"/>
                <w:szCs w:val="21"/>
                <w:highlight w:val="none"/>
              </w:rPr>
            </w:pPr>
          </w:p>
        </w:tc>
        <w:tc>
          <w:tcPr>
            <w:tcW w:w="1282" w:type="pct"/>
            <w:vAlign w:val="center"/>
          </w:tcPr>
          <w:p w14:paraId="6EDD1A58">
            <w:pPr>
              <w:pStyle w:val="20"/>
              <w:ind w:firstLine="602"/>
              <w:rPr>
                <w:rFonts w:hint="eastAsia" w:asciiTheme="minorEastAsia" w:hAnsiTheme="minorEastAsia" w:eastAsiaTheme="minorEastAsia" w:cstheme="minorEastAsia"/>
                <w:b/>
                <w:bCs/>
                <w:sz w:val="21"/>
                <w:szCs w:val="21"/>
                <w:highlight w:val="none"/>
              </w:rPr>
            </w:pPr>
          </w:p>
        </w:tc>
        <w:tc>
          <w:tcPr>
            <w:tcW w:w="1282" w:type="pct"/>
          </w:tcPr>
          <w:p w14:paraId="49F4240D">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794028B5">
            <w:pPr>
              <w:pStyle w:val="20"/>
              <w:ind w:firstLine="602"/>
              <w:rPr>
                <w:rFonts w:hint="eastAsia" w:asciiTheme="minorEastAsia" w:hAnsiTheme="minorEastAsia" w:eastAsiaTheme="minorEastAsia" w:cstheme="minorEastAsia"/>
                <w:b/>
                <w:bCs/>
                <w:sz w:val="21"/>
                <w:szCs w:val="21"/>
                <w:highlight w:val="none"/>
              </w:rPr>
            </w:pPr>
          </w:p>
        </w:tc>
      </w:tr>
      <w:tr w14:paraId="7C31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C3BA771">
            <w:pPr>
              <w:pStyle w:val="20"/>
              <w:ind w:firstLine="602"/>
              <w:rPr>
                <w:rFonts w:hint="eastAsia" w:asciiTheme="minorEastAsia" w:hAnsiTheme="minorEastAsia" w:eastAsiaTheme="minorEastAsia" w:cstheme="minorEastAsia"/>
                <w:b/>
                <w:bCs/>
                <w:sz w:val="21"/>
                <w:szCs w:val="21"/>
                <w:highlight w:val="none"/>
              </w:rPr>
            </w:pPr>
          </w:p>
        </w:tc>
        <w:tc>
          <w:tcPr>
            <w:tcW w:w="1282" w:type="pct"/>
            <w:vAlign w:val="center"/>
          </w:tcPr>
          <w:p w14:paraId="10E12CF9">
            <w:pPr>
              <w:pStyle w:val="20"/>
              <w:ind w:firstLine="602"/>
              <w:rPr>
                <w:rFonts w:hint="eastAsia" w:asciiTheme="minorEastAsia" w:hAnsiTheme="minorEastAsia" w:eastAsiaTheme="minorEastAsia" w:cstheme="minorEastAsia"/>
                <w:b/>
                <w:bCs/>
                <w:sz w:val="21"/>
                <w:szCs w:val="21"/>
                <w:highlight w:val="none"/>
              </w:rPr>
            </w:pPr>
          </w:p>
        </w:tc>
        <w:tc>
          <w:tcPr>
            <w:tcW w:w="1282" w:type="pct"/>
          </w:tcPr>
          <w:p w14:paraId="7E88D819">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3FA547D4">
            <w:pPr>
              <w:pStyle w:val="20"/>
              <w:ind w:firstLine="602"/>
              <w:rPr>
                <w:rFonts w:hint="eastAsia" w:asciiTheme="minorEastAsia" w:hAnsiTheme="minorEastAsia" w:eastAsiaTheme="minorEastAsia" w:cstheme="minorEastAsia"/>
                <w:b/>
                <w:bCs/>
                <w:sz w:val="21"/>
                <w:szCs w:val="21"/>
                <w:highlight w:val="none"/>
              </w:rPr>
            </w:pPr>
          </w:p>
        </w:tc>
      </w:tr>
      <w:tr w14:paraId="7C06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450A6DE8">
            <w:pPr>
              <w:pStyle w:val="20"/>
              <w:ind w:firstLine="602"/>
              <w:rPr>
                <w:rFonts w:hint="eastAsia" w:asciiTheme="minorEastAsia" w:hAnsiTheme="minorEastAsia" w:eastAsiaTheme="minorEastAsia" w:cstheme="minorEastAsia"/>
                <w:b/>
                <w:bCs/>
                <w:sz w:val="21"/>
                <w:szCs w:val="21"/>
                <w:highlight w:val="none"/>
              </w:rPr>
            </w:pPr>
          </w:p>
        </w:tc>
        <w:tc>
          <w:tcPr>
            <w:tcW w:w="1282" w:type="pct"/>
            <w:vAlign w:val="center"/>
          </w:tcPr>
          <w:p w14:paraId="314DF594">
            <w:pPr>
              <w:pStyle w:val="20"/>
              <w:ind w:firstLine="602"/>
              <w:rPr>
                <w:rFonts w:hint="eastAsia" w:asciiTheme="minorEastAsia" w:hAnsiTheme="minorEastAsia" w:eastAsiaTheme="minorEastAsia" w:cstheme="minorEastAsia"/>
                <w:b/>
                <w:bCs/>
                <w:sz w:val="21"/>
                <w:szCs w:val="21"/>
                <w:highlight w:val="none"/>
              </w:rPr>
            </w:pPr>
          </w:p>
        </w:tc>
        <w:tc>
          <w:tcPr>
            <w:tcW w:w="1282" w:type="pct"/>
          </w:tcPr>
          <w:p w14:paraId="13DE93D0">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3542A160">
            <w:pPr>
              <w:pStyle w:val="20"/>
              <w:ind w:firstLine="602"/>
              <w:rPr>
                <w:rFonts w:hint="eastAsia" w:asciiTheme="minorEastAsia" w:hAnsiTheme="minorEastAsia" w:eastAsiaTheme="minorEastAsia" w:cstheme="minorEastAsia"/>
                <w:b/>
                <w:bCs/>
                <w:sz w:val="21"/>
                <w:szCs w:val="21"/>
                <w:highlight w:val="none"/>
              </w:rPr>
            </w:pPr>
          </w:p>
        </w:tc>
      </w:tr>
      <w:tr w14:paraId="6183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A9E0E3F">
            <w:pPr>
              <w:pStyle w:val="20"/>
              <w:ind w:firstLine="602"/>
              <w:rPr>
                <w:rFonts w:hint="eastAsia" w:asciiTheme="minorEastAsia" w:hAnsiTheme="minorEastAsia" w:eastAsiaTheme="minorEastAsia" w:cstheme="minorEastAsia"/>
                <w:b/>
                <w:bCs/>
                <w:sz w:val="21"/>
                <w:szCs w:val="21"/>
                <w:highlight w:val="none"/>
              </w:rPr>
            </w:pPr>
          </w:p>
        </w:tc>
        <w:tc>
          <w:tcPr>
            <w:tcW w:w="1282" w:type="pct"/>
            <w:vAlign w:val="center"/>
          </w:tcPr>
          <w:p w14:paraId="22689986">
            <w:pPr>
              <w:pStyle w:val="20"/>
              <w:ind w:firstLine="602"/>
              <w:rPr>
                <w:rFonts w:hint="eastAsia" w:asciiTheme="minorEastAsia" w:hAnsiTheme="minorEastAsia" w:eastAsiaTheme="minorEastAsia" w:cstheme="minorEastAsia"/>
                <w:b/>
                <w:bCs/>
                <w:sz w:val="21"/>
                <w:szCs w:val="21"/>
                <w:highlight w:val="none"/>
              </w:rPr>
            </w:pPr>
          </w:p>
        </w:tc>
        <w:tc>
          <w:tcPr>
            <w:tcW w:w="1282" w:type="pct"/>
          </w:tcPr>
          <w:p w14:paraId="3ABBEA0C">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02A60D29">
            <w:pPr>
              <w:pStyle w:val="20"/>
              <w:ind w:firstLine="602"/>
              <w:rPr>
                <w:rFonts w:hint="eastAsia" w:asciiTheme="minorEastAsia" w:hAnsiTheme="minorEastAsia" w:eastAsiaTheme="minorEastAsia" w:cstheme="minorEastAsia"/>
                <w:b/>
                <w:bCs/>
                <w:sz w:val="21"/>
                <w:szCs w:val="21"/>
                <w:highlight w:val="none"/>
              </w:rPr>
            </w:pPr>
          </w:p>
        </w:tc>
      </w:tr>
      <w:tr w14:paraId="36E0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7FB5B95B">
            <w:pPr>
              <w:pStyle w:val="20"/>
              <w:ind w:firstLine="602"/>
              <w:rPr>
                <w:rFonts w:hint="eastAsia" w:asciiTheme="minorEastAsia" w:hAnsiTheme="minorEastAsia" w:eastAsiaTheme="minorEastAsia" w:cstheme="minorEastAsia"/>
                <w:b/>
                <w:bCs/>
                <w:sz w:val="21"/>
                <w:szCs w:val="21"/>
                <w:highlight w:val="none"/>
              </w:rPr>
            </w:pPr>
          </w:p>
        </w:tc>
        <w:tc>
          <w:tcPr>
            <w:tcW w:w="1282" w:type="pct"/>
            <w:vAlign w:val="center"/>
          </w:tcPr>
          <w:p w14:paraId="136EEA04">
            <w:pPr>
              <w:pStyle w:val="20"/>
              <w:ind w:firstLine="602"/>
              <w:rPr>
                <w:rFonts w:hint="eastAsia" w:asciiTheme="minorEastAsia" w:hAnsiTheme="minorEastAsia" w:eastAsiaTheme="minorEastAsia" w:cstheme="minorEastAsia"/>
                <w:b/>
                <w:bCs/>
                <w:sz w:val="21"/>
                <w:szCs w:val="21"/>
                <w:highlight w:val="none"/>
              </w:rPr>
            </w:pPr>
          </w:p>
        </w:tc>
        <w:tc>
          <w:tcPr>
            <w:tcW w:w="1282" w:type="pct"/>
          </w:tcPr>
          <w:p w14:paraId="1281ACDE">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1022B09F">
            <w:pPr>
              <w:pStyle w:val="20"/>
              <w:ind w:firstLine="602"/>
              <w:rPr>
                <w:rFonts w:hint="eastAsia" w:asciiTheme="minorEastAsia" w:hAnsiTheme="minorEastAsia" w:eastAsiaTheme="minorEastAsia" w:cstheme="minorEastAsia"/>
                <w:b/>
                <w:bCs/>
                <w:sz w:val="21"/>
                <w:szCs w:val="21"/>
                <w:highlight w:val="none"/>
              </w:rPr>
            </w:pPr>
          </w:p>
        </w:tc>
      </w:tr>
      <w:tr w14:paraId="702FD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65" w:type="pct"/>
            <w:gridSpan w:val="2"/>
            <w:vAlign w:val="center"/>
          </w:tcPr>
          <w:p w14:paraId="730BC59A">
            <w:pPr>
              <w:widowControl/>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拟分包工程造价合计（万元）</w:t>
            </w:r>
          </w:p>
        </w:tc>
        <w:tc>
          <w:tcPr>
            <w:tcW w:w="1282" w:type="pct"/>
          </w:tcPr>
          <w:p w14:paraId="49B22F85">
            <w:pPr>
              <w:pStyle w:val="20"/>
              <w:ind w:firstLine="602"/>
              <w:rPr>
                <w:rFonts w:hint="eastAsia" w:asciiTheme="minorEastAsia" w:hAnsiTheme="minorEastAsia" w:eastAsiaTheme="minorEastAsia" w:cstheme="minorEastAsia"/>
                <w:b/>
                <w:bCs/>
                <w:sz w:val="21"/>
                <w:szCs w:val="21"/>
                <w:highlight w:val="none"/>
              </w:rPr>
            </w:pPr>
          </w:p>
        </w:tc>
        <w:tc>
          <w:tcPr>
            <w:tcW w:w="1152" w:type="pct"/>
            <w:vMerge w:val="continue"/>
          </w:tcPr>
          <w:p w14:paraId="51FA5F94">
            <w:pPr>
              <w:pStyle w:val="20"/>
              <w:ind w:firstLine="602"/>
              <w:rPr>
                <w:rFonts w:hint="eastAsia" w:asciiTheme="minorEastAsia" w:hAnsiTheme="minorEastAsia" w:eastAsiaTheme="minorEastAsia" w:cstheme="minorEastAsia"/>
                <w:b/>
                <w:bCs/>
                <w:sz w:val="21"/>
                <w:szCs w:val="21"/>
                <w:highlight w:val="none"/>
              </w:rPr>
            </w:pPr>
          </w:p>
        </w:tc>
      </w:tr>
    </w:tbl>
    <w:p w14:paraId="3B335165">
      <w:pPr>
        <w:rPr>
          <w:rFonts w:hint="eastAsia" w:ascii="宋体" w:hAnsi="宋体" w:cs="宋体"/>
          <w:sz w:val="21"/>
          <w:szCs w:val="21"/>
          <w:highlight w:val="none"/>
        </w:rPr>
      </w:pPr>
      <w:r>
        <w:rPr>
          <w:rFonts w:hint="eastAsia" w:ascii="宋体" w:hAnsi="宋体" w:cs="宋体"/>
          <w:sz w:val="21"/>
          <w:szCs w:val="21"/>
          <w:highlight w:val="none"/>
        </w:rPr>
        <w:t xml:space="preserve">注：本项目不允许分包。请在“分包的工程项目”一栏填写“无”。本表不可缺省。 </w:t>
      </w:r>
    </w:p>
    <w:p w14:paraId="7DC03009">
      <w:pPr>
        <w:pStyle w:val="178"/>
        <w:tabs>
          <w:tab w:val="left" w:pos="540"/>
        </w:tabs>
        <w:spacing w:line="360" w:lineRule="exact"/>
        <w:ind w:left="0" w:firstLine="954" w:firstLineChars="396"/>
        <w:rPr>
          <w:rFonts w:hint="eastAsia" w:cs="Times New Roman"/>
          <w:b/>
          <w:bCs/>
          <w:color w:val="auto"/>
          <w:highlight w:val="none"/>
          <w:u w:val="single"/>
        </w:rPr>
        <w:sectPr>
          <w:type w:val="continuous"/>
          <w:pgSz w:w="11905" w:h="16838"/>
          <w:pgMar w:top="1077" w:right="1134" w:bottom="1077" w:left="1134" w:header="850" w:footer="992" w:gutter="0"/>
          <w:pgNumType w:fmt="decimal"/>
          <w:cols w:space="0" w:num="1"/>
          <w:docGrid w:linePitch="312" w:charSpace="0"/>
        </w:sectPr>
      </w:pPr>
    </w:p>
    <w:p w14:paraId="399CA954">
      <w:pPr>
        <w:widowControl/>
        <w:jc w:val="left"/>
        <w:rPr>
          <w:rFonts w:eastAsia="黑体" w:cs="黑体"/>
          <w:sz w:val="36"/>
          <w:szCs w:val="36"/>
          <w:highlight w:val="none"/>
        </w:rPr>
      </w:pPr>
      <w:r>
        <w:rPr>
          <w:rFonts w:eastAsia="黑体" w:cs="黑体"/>
          <w:sz w:val="36"/>
          <w:szCs w:val="36"/>
          <w:highlight w:val="none"/>
        </w:rPr>
        <w:br w:type="page"/>
      </w:r>
    </w:p>
    <w:p w14:paraId="1ADBECA8">
      <w:pPr>
        <w:pStyle w:val="49"/>
        <w:numPr>
          <w:ilvl w:val="0"/>
          <w:numId w:val="0"/>
        </w:numPr>
        <w:rPr>
          <w:rFonts w:hint="eastAsia" w:asciiTheme="minorEastAsia" w:hAnsiTheme="minorEastAsia" w:eastAsiaTheme="minorEastAsia" w:cstheme="minorEastAsia"/>
          <w:sz w:val="32"/>
          <w:szCs w:val="32"/>
          <w:highlight w:val="none"/>
          <w:lang w:val="en-US" w:eastAsia="zh-CN"/>
        </w:rPr>
      </w:pPr>
      <w:r>
        <w:rPr>
          <w:rFonts w:hint="eastAsia" w:asciiTheme="minorEastAsia" w:hAnsiTheme="minorEastAsia" w:eastAsiaTheme="minorEastAsia" w:cstheme="minorEastAsia"/>
          <w:b/>
          <w:bCs/>
          <w:kern w:val="0"/>
          <w:sz w:val="32"/>
          <w:szCs w:val="32"/>
          <w:highlight w:val="none"/>
          <w:lang w:val="en-US" w:eastAsia="zh-CN" w:bidi="ar-SA"/>
        </w:rPr>
        <w:t>七、</w:t>
      </w:r>
      <w:r>
        <w:rPr>
          <w:rFonts w:hint="eastAsia" w:asciiTheme="minorEastAsia" w:hAnsiTheme="minorEastAsia" w:eastAsiaTheme="minorEastAsia" w:cstheme="minorEastAsia"/>
          <w:sz w:val="32"/>
          <w:szCs w:val="32"/>
          <w:highlight w:val="none"/>
          <w:lang w:val="en-US" w:eastAsia="zh-CN"/>
        </w:rPr>
        <w:t>资格审查及商务评审资料</w:t>
      </w:r>
    </w:p>
    <w:p w14:paraId="7FD66EDB">
      <w:pPr>
        <w:jc w:val="center"/>
        <w:rPr>
          <w:rFonts w:hint="eastAsia" w:ascii="宋体" w:hAnsi="宋体"/>
          <w:b/>
          <w:sz w:val="28"/>
          <w:szCs w:val="28"/>
          <w:highlight w:val="none"/>
        </w:rPr>
      </w:pPr>
    </w:p>
    <w:p w14:paraId="4F6C5C7A">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表1企业基本信息表</w:t>
      </w:r>
    </w:p>
    <w:p w14:paraId="68830D5A">
      <w:pPr>
        <w:jc w:val="center"/>
        <w:rPr>
          <w:rFonts w:ascii="宋体"/>
          <w:b/>
          <w:sz w:val="28"/>
          <w:szCs w:val="28"/>
          <w:highlight w:val="none"/>
        </w:rPr>
      </w:pPr>
    </w:p>
    <w:tbl>
      <w:tblPr>
        <w:tblStyle w:val="52"/>
        <w:tblW w:w="5000" w:type="pct"/>
        <w:tblInd w:w="15" w:type="dxa"/>
        <w:tblLayout w:type="autofit"/>
        <w:tblCellMar>
          <w:top w:w="0" w:type="dxa"/>
          <w:left w:w="0" w:type="dxa"/>
          <w:bottom w:w="0" w:type="dxa"/>
          <w:right w:w="0" w:type="dxa"/>
        </w:tblCellMar>
      </w:tblPr>
      <w:tblGrid>
        <w:gridCol w:w="1608"/>
        <w:gridCol w:w="1610"/>
        <w:gridCol w:w="1611"/>
        <w:gridCol w:w="1611"/>
        <w:gridCol w:w="1611"/>
        <w:gridCol w:w="1616"/>
      </w:tblGrid>
      <w:tr w14:paraId="4DD6153F">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59BC1E1">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申请人全称：</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EB244D7">
            <w:pPr>
              <w:widowControl/>
              <w:jc w:val="left"/>
              <w:textAlignment w:val="bottom"/>
              <w:rPr>
                <w:rFonts w:hint="eastAsia" w:asciiTheme="minorEastAsia" w:hAnsiTheme="minorEastAsia" w:eastAsiaTheme="minorEastAsia" w:cstheme="minorEastAsia"/>
                <w:sz w:val="21"/>
                <w:szCs w:val="21"/>
                <w:highlight w:val="none"/>
              </w:rPr>
            </w:pPr>
          </w:p>
        </w:tc>
      </w:tr>
      <w:tr w14:paraId="126F76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9624C3A">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主要业务：</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0E97942">
            <w:pPr>
              <w:widowControl/>
              <w:jc w:val="left"/>
              <w:textAlignment w:val="bottom"/>
              <w:rPr>
                <w:rFonts w:hint="eastAsia" w:asciiTheme="minorEastAsia" w:hAnsiTheme="minorEastAsia" w:eastAsiaTheme="minorEastAsia" w:cstheme="minorEastAsia"/>
                <w:sz w:val="21"/>
                <w:szCs w:val="21"/>
                <w:highlight w:val="none"/>
              </w:rPr>
            </w:pPr>
          </w:p>
        </w:tc>
      </w:tr>
      <w:tr w14:paraId="35330EC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46F1B9">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营业范围：</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911EF38">
            <w:pPr>
              <w:widowControl/>
              <w:jc w:val="left"/>
              <w:textAlignment w:val="bottom"/>
              <w:rPr>
                <w:rFonts w:hint="eastAsia" w:asciiTheme="minorEastAsia" w:hAnsiTheme="minorEastAsia" w:eastAsiaTheme="minorEastAsia" w:cstheme="minorEastAsia"/>
                <w:sz w:val="21"/>
                <w:szCs w:val="21"/>
                <w:highlight w:val="none"/>
              </w:rPr>
            </w:pPr>
          </w:p>
        </w:tc>
      </w:tr>
      <w:tr w14:paraId="2A5629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C7F80AF">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统一社会信用代码：</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BCC7C44">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7B95463">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注册资本(元)：</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5C5E3DF">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014CCAA">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信用等级：</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DA9D399">
            <w:pPr>
              <w:widowControl/>
              <w:jc w:val="left"/>
              <w:textAlignment w:val="bottom"/>
              <w:rPr>
                <w:rFonts w:hint="eastAsia" w:asciiTheme="minorEastAsia" w:hAnsiTheme="minorEastAsia" w:eastAsiaTheme="minorEastAsia" w:cstheme="minorEastAsia"/>
                <w:sz w:val="21"/>
                <w:szCs w:val="21"/>
                <w:highlight w:val="none"/>
              </w:rPr>
            </w:pPr>
          </w:p>
        </w:tc>
      </w:tr>
      <w:tr w14:paraId="73C21DC2">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D1DE01C">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建立日期：</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15DA47F">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3EF60E5">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现有职工总人数(人)：</w:t>
            </w:r>
          </w:p>
        </w:tc>
        <w:tc>
          <w:tcPr>
            <w:tcW w:w="2502"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C361F53">
            <w:pPr>
              <w:widowControl/>
              <w:jc w:val="left"/>
              <w:textAlignment w:val="bottom"/>
              <w:rPr>
                <w:rFonts w:hint="eastAsia" w:asciiTheme="minorEastAsia" w:hAnsiTheme="minorEastAsia" w:eastAsiaTheme="minorEastAsia" w:cstheme="minorEastAsia"/>
                <w:sz w:val="21"/>
                <w:szCs w:val="21"/>
                <w:highlight w:val="none"/>
              </w:rPr>
            </w:pPr>
          </w:p>
        </w:tc>
      </w:tr>
      <w:tr w14:paraId="7A5A2143">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1951B8C">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办公地址：</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4754E31">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6D061B3">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邮编：</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D1E2ACD">
            <w:pPr>
              <w:widowControl/>
              <w:jc w:val="left"/>
              <w:textAlignment w:val="bottom"/>
              <w:rPr>
                <w:rFonts w:hint="eastAsia" w:asciiTheme="minorEastAsia" w:hAnsiTheme="minorEastAsia" w:eastAsiaTheme="minorEastAsia" w:cstheme="minorEastAsia"/>
                <w:sz w:val="21"/>
                <w:szCs w:val="21"/>
                <w:highlight w:val="none"/>
              </w:rPr>
            </w:pPr>
          </w:p>
        </w:tc>
      </w:tr>
      <w:tr w14:paraId="7B738E50">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3F48342">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联系电话：</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86314A6">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C9599D9">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传真：</w:t>
            </w:r>
          </w:p>
        </w:tc>
        <w:tc>
          <w:tcPr>
            <w:tcW w:w="2502"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702BC7C">
            <w:pPr>
              <w:widowControl/>
              <w:jc w:val="left"/>
              <w:textAlignment w:val="bottom"/>
              <w:rPr>
                <w:rFonts w:hint="eastAsia" w:asciiTheme="minorEastAsia" w:hAnsiTheme="minorEastAsia" w:eastAsiaTheme="minorEastAsia" w:cstheme="minorEastAsia"/>
                <w:sz w:val="21"/>
                <w:szCs w:val="21"/>
                <w:highlight w:val="none"/>
              </w:rPr>
            </w:pPr>
          </w:p>
        </w:tc>
      </w:tr>
      <w:tr w14:paraId="2F79B636">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7D84ED6">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法人代表姓名：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E5EA89B">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BA0FC2B">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FAB209C">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C14AD9E">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联系电话：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3540256">
            <w:pPr>
              <w:widowControl/>
              <w:jc w:val="left"/>
              <w:textAlignment w:val="bottom"/>
              <w:rPr>
                <w:rFonts w:hint="eastAsia" w:asciiTheme="minorEastAsia" w:hAnsiTheme="minorEastAsia" w:eastAsiaTheme="minorEastAsia" w:cstheme="minorEastAsia"/>
                <w:sz w:val="21"/>
                <w:szCs w:val="21"/>
                <w:highlight w:val="none"/>
              </w:rPr>
            </w:pPr>
          </w:p>
        </w:tc>
      </w:tr>
      <w:tr w14:paraId="4C26148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056044A">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技术负责人姓名：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EB55F97">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6A311CB">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技术负责人职务：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CB737C5">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7DCDF12">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技术负责人电话：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B5393AC">
            <w:pPr>
              <w:widowControl/>
              <w:jc w:val="left"/>
              <w:textAlignment w:val="bottom"/>
              <w:rPr>
                <w:rFonts w:hint="eastAsia" w:asciiTheme="minorEastAsia" w:hAnsiTheme="minorEastAsia" w:eastAsiaTheme="minorEastAsia" w:cstheme="minorEastAsia"/>
                <w:sz w:val="21"/>
                <w:szCs w:val="21"/>
                <w:highlight w:val="none"/>
              </w:rPr>
            </w:pPr>
          </w:p>
        </w:tc>
      </w:tr>
      <w:tr w14:paraId="27606CA4">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677B878">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联系人姓名：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52E13BA">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0AD8D54">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联系人职务：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BAF3928">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C7B40B3">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联系人电话：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4A5845">
            <w:pPr>
              <w:widowControl/>
              <w:jc w:val="left"/>
              <w:textAlignment w:val="bottom"/>
              <w:rPr>
                <w:rFonts w:hint="eastAsia" w:asciiTheme="minorEastAsia" w:hAnsiTheme="minorEastAsia" w:eastAsiaTheme="minorEastAsia" w:cstheme="minorEastAsia"/>
                <w:sz w:val="21"/>
                <w:szCs w:val="21"/>
                <w:highlight w:val="none"/>
              </w:rPr>
            </w:pPr>
          </w:p>
        </w:tc>
      </w:tr>
      <w:tr w14:paraId="405F13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4C2E48F">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联系人邮箱：</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DDDA1B7">
            <w:pPr>
              <w:widowControl/>
              <w:jc w:val="left"/>
              <w:textAlignment w:val="bottom"/>
              <w:rPr>
                <w:rFonts w:hint="eastAsia" w:asciiTheme="minorEastAsia" w:hAnsiTheme="minorEastAsia" w:eastAsiaTheme="minorEastAsia" w:cstheme="minorEastAsia"/>
                <w:sz w:val="21"/>
                <w:szCs w:val="21"/>
                <w:highlight w:val="none"/>
              </w:rPr>
            </w:pPr>
          </w:p>
        </w:tc>
      </w:tr>
      <w:tr w14:paraId="2C926442">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A0491E2">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2DE2CE7">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0D68E91">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13081D5">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D0182B">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FF815B7">
            <w:pPr>
              <w:widowControl/>
              <w:jc w:val="left"/>
              <w:textAlignment w:val="bottom"/>
              <w:rPr>
                <w:rFonts w:hint="eastAsia" w:asciiTheme="minorEastAsia" w:hAnsiTheme="minorEastAsia" w:eastAsiaTheme="minorEastAsia" w:cstheme="minorEastAsia"/>
                <w:sz w:val="21"/>
                <w:szCs w:val="21"/>
                <w:highlight w:val="none"/>
              </w:rPr>
            </w:pPr>
          </w:p>
        </w:tc>
      </w:tr>
      <w:tr w14:paraId="42D876FA">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D3B2243">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F01B359">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C6779C4">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224D1BB">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EBDF6FB">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D617147">
            <w:pPr>
              <w:widowControl/>
              <w:jc w:val="left"/>
              <w:textAlignment w:val="bottom"/>
              <w:rPr>
                <w:rFonts w:hint="eastAsia" w:asciiTheme="minorEastAsia" w:hAnsiTheme="minorEastAsia" w:eastAsiaTheme="minorEastAsia" w:cstheme="minorEastAsia"/>
                <w:sz w:val="21"/>
                <w:szCs w:val="21"/>
                <w:highlight w:val="none"/>
              </w:rPr>
            </w:pPr>
          </w:p>
        </w:tc>
      </w:tr>
      <w:tr w14:paraId="1F04D8F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790B501">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94140D6">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5848B24">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FDCE112">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B5C28D8">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DEEA7FD">
            <w:pPr>
              <w:widowControl/>
              <w:jc w:val="left"/>
              <w:textAlignment w:val="bottom"/>
              <w:rPr>
                <w:rFonts w:hint="eastAsia" w:asciiTheme="minorEastAsia" w:hAnsiTheme="minorEastAsia" w:eastAsiaTheme="minorEastAsia" w:cstheme="minorEastAsia"/>
                <w:sz w:val="21"/>
                <w:szCs w:val="21"/>
                <w:highlight w:val="none"/>
              </w:rPr>
            </w:pPr>
          </w:p>
        </w:tc>
      </w:tr>
      <w:tr w14:paraId="2D11FF5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905F2A1">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533A1D9">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90CB6F6">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1F45BBE">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E9B2AA5">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13A8562">
            <w:pPr>
              <w:widowControl/>
              <w:jc w:val="left"/>
              <w:textAlignment w:val="bottom"/>
              <w:rPr>
                <w:rFonts w:hint="eastAsia" w:asciiTheme="minorEastAsia" w:hAnsiTheme="minorEastAsia" w:eastAsiaTheme="minorEastAsia" w:cstheme="minorEastAsia"/>
                <w:sz w:val="21"/>
                <w:szCs w:val="21"/>
                <w:highlight w:val="none"/>
              </w:rPr>
            </w:pPr>
          </w:p>
        </w:tc>
      </w:tr>
      <w:tr w14:paraId="16C70A7E">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3886E4A">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27A71D9">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D8CB06C">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6EC3B1F">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951E8A3">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2BBB904">
            <w:pPr>
              <w:widowControl/>
              <w:jc w:val="left"/>
              <w:textAlignment w:val="bottom"/>
              <w:rPr>
                <w:rFonts w:hint="eastAsia" w:asciiTheme="minorEastAsia" w:hAnsiTheme="minorEastAsia" w:eastAsiaTheme="minorEastAsia" w:cstheme="minorEastAsia"/>
                <w:sz w:val="21"/>
                <w:szCs w:val="21"/>
                <w:highlight w:val="none"/>
              </w:rPr>
            </w:pPr>
          </w:p>
        </w:tc>
      </w:tr>
      <w:tr w14:paraId="58C2AC28">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B294979">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1266AD7">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FCDA13B">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D4A48C2">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A0DD449">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A1F41C4">
            <w:pPr>
              <w:widowControl/>
              <w:jc w:val="left"/>
              <w:textAlignment w:val="bottom"/>
              <w:rPr>
                <w:rFonts w:hint="eastAsia" w:asciiTheme="minorEastAsia" w:hAnsiTheme="minorEastAsia" w:eastAsiaTheme="minorEastAsia" w:cstheme="minorEastAsia"/>
                <w:sz w:val="21"/>
                <w:szCs w:val="21"/>
                <w:highlight w:val="none"/>
              </w:rPr>
            </w:pPr>
          </w:p>
        </w:tc>
      </w:tr>
      <w:tr w14:paraId="29AE400E">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CA5F86">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8FCD99E">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4C083F8">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70D9A50">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025C101">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41435EB">
            <w:pPr>
              <w:widowControl/>
              <w:jc w:val="left"/>
              <w:textAlignment w:val="bottom"/>
              <w:rPr>
                <w:rFonts w:hint="eastAsia" w:asciiTheme="minorEastAsia" w:hAnsiTheme="minorEastAsia" w:eastAsiaTheme="minorEastAsia" w:cstheme="minorEastAsia"/>
                <w:sz w:val="21"/>
                <w:szCs w:val="21"/>
                <w:highlight w:val="none"/>
              </w:rPr>
            </w:pPr>
          </w:p>
        </w:tc>
      </w:tr>
      <w:tr w14:paraId="4E41BD2E">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9F6318B">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安全许可证证书编号：</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30452B4">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47D3AC4">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安全许可证证书有效期：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E9D33F7">
            <w:pPr>
              <w:widowControl/>
              <w:jc w:val="left"/>
              <w:textAlignment w:val="bottom"/>
              <w:rPr>
                <w:rFonts w:hint="eastAsia" w:asciiTheme="minorEastAsia" w:hAnsiTheme="minorEastAsia" w:eastAsiaTheme="minorEastAsia" w:cstheme="minorEastAsia"/>
                <w:sz w:val="21"/>
                <w:szCs w:val="21"/>
                <w:highlight w:val="none"/>
              </w:rPr>
            </w:pPr>
          </w:p>
        </w:tc>
      </w:tr>
      <w:tr w14:paraId="02E7E63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030856F">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基本户开户行：</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EE15A3F">
            <w:pPr>
              <w:widowControl/>
              <w:jc w:val="left"/>
              <w:textAlignment w:val="bottom"/>
              <w:rPr>
                <w:rFonts w:hint="eastAsia" w:asciiTheme="minorEastAsia" w:hAnsiTheme="minorEastAsia" w:eastAsiaTheme="minorEastAsia" w:cstheme="minorEastAsia"/>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F879482">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基本户户名：</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49FC502">
            <w:pPr>
              <w:widowControl/>
              <w:jc w:val="left"/>
              <w:textAlignment w:val="bottom"/>
              <w:rPr>
                <w:rFonts w:hint="eastAsia" w:asciiTheme="minorEastAsia" w:hAnsiTheme="minorEastAsia" w:eastAsiaTheme="minorEastAsia" w:cstheme="minorEastAsia"/>
                <w:sz w:val="21"/>
                <w:szCs w:val="21"/>
                <w:highlight w:val="none"/>
              </w:rPr>
            </w:pPr>
          </w:p>
        </w:tc>
      </w:tr>
      <w:tr w14:paraId="2B5620A8">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50D4F3A">
            <w:pPr>
              <w:widowControl/>
              <w:jc w:val="left"/>
              <w:textAlignment w:val="bottom"/>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基本户账号：</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AEFF85B">
            <w:pPr>
              <w:widowControl/>
              <w:jc w:val="left"/>
              <w:textAlignment w:val="bottom"/>
              <w:rPr>
                <w:rFonts w:hint="eastAsia" w:asciiTheme="minorEastAsia" w:hAnsiTheme="minorEastAsia" w:eastAsiaTheme="minorEastAsia" w:cstheme="minorEastAsia"/>
                <w:sz w:val="21"/>
                <w:szCs w:val="21"/>
                <w:highlight w:val="none"/>
              </w:rPr>
            </w:pPr>
          </w:p>
        </w:tc>
      </w:tr>
    </w:tbl>
    <w:p w14:paraId="5DEA734A">
      <w:pPr>
        <w:spacing w:line="360" w:lineRule="auto"/>
        <w:ind w:firstLine="422" w:firstLineChars="200"/>
        <w:jc w:val="left"/>
        <w:rPr>
          <w:rFonts w:hint="eastAsia" w:ascii="宋体" w:hAnsi="宋体" w:cs="宋体"/>
          <w:b/>
          <w:szCs w:val="21"/>
          <w:highlight w:val="none"/>
        </w:rPr>
      </w:pPr>
    </w:p>
    <w:p w14:paraId="7B29955D">
      <w:pPr>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rPr>
        <w:t>注：本表后附营业执照、企业基本账户开户许可证或企业基本存款账户信息</w:t>
      </w:r>
      <w:r>
        <w:rPr>
          <w:rFonts w:hint="eastAsia" w:ascii="宋体" w:hAnsi="宋体" w:eastAsia="宋体" w:cs="MingLiU"/>
          <w:kern w:val="0"/>
          <w:sz w:val="21"/>
          <w:szCs w:val="21"/>
          <w:highlight w:val="none"/>
          <w:lang w:eastAsia="zh-CN"/>
        </w:rPr>
        <w:t>、</w:t>
      </w:r>
      <w:r>
        <w:rPr>
          <w:rFonts w:hint="eastAsia" w:ascii="宋体" w:hAnsi="宋体" w:eastAsia="宋体" w:cs="MingLiU"/>
          <w:kern w:val="0"/>
          <w:sz w:val="21"/>
          <w:szCs w:val="21"/>
          <w:highlight w:val="none"/>
        </w:rPr>
        <w:t>资质证书、安全生产许可证复印件（或扫描件）。</w:t>
      </w:r>
    </w:p>
    <w:p w14:paraId="1A085F27">
      <w:pPr>
        <w:rPr>
          <w:rFonts w:hint="default"/>
          <w:highlight w:val="none"/>
          <w:lang w:val="en-US" w:eastAsia="zh-CN"/>
        </w:rPr>
      </w:pPr>
    </w:p>
    <w:p w14:paraId="7647D474">
      <w:pPr>
        <w:rPr>
          <w:rFonts w:hint="eastAsia" w:eastAsia="黑体" w:cs="黑体"/>
          <w:sz w:val="36"/>
          <w:szCs w:val="36"/>
          <w:highlight w:val="none"/>
          <w:lang w:val="en-US" w:eastAsia="zh-CN"/>
        </w:rPr>
      </w:pPr>
      <w:r>
        <w:rPr>
          <w:rFonts w:hint="eastAsia" w:eastAsia="黑体" w:cs="黑体"/>
          <w:sz w:val="36"/>
          <w:szCs w:val="36"/>
          <w:highlight w:val="none"/>
          <w:lang w:val="en-US" w:eastAsia="zh-CN"/>
        </w:rPr>
        <w:br w:type="page"/>
      </w:r>
    </w:p>
    <w:p w14:paraId="14446515">
      <w:pPr>
        <w:jc w:val="center"/>
        <w:rPr>
          <w:rFonts w:hint="eastAsia" w:ascii="宋体" w:hAnsi="宋体" w:eastAsia="宋体" w:cs="Times New Roman"/>
          <w:b/>
          <w:sz w:val="28"/>
          <w:szCs w:val="28"/>
          <w:highlight w:val="none"/>
        </w:rPr>
      </w:pPr>
      <w:r>
        <w:rPr>
          <w:rFonts w:hint="eastAsia" w:ascii="宋体" w:hAnsi="宋体" w:eastAsia="宋体" w:cs="Times New Roman"/>
          <w:b/>
          <w:sz w:val="28"/>
          <w:szCs w:val="28"/>
          <w:highlight w:val="none"/>
          <w:lang w:val="en-US" w:eastAsia="zh-CN"/>
        </w:rPr>
        <w:t xml:space="preserve">表2 </w:t>
      </w:r>
      <w:r>
        <w:rPr>
          <w:rFonts w:hint="eastAsia" w:ascii="宋体" w:hAnsi="宋体" w:eastAsia="宋体" w:cs="Times New Roman"/>
          <w:b/>
          <w:sz w:val="28"/>
          <w:szCs w:val="28"/>
          <w:highlight w:val="none"/>
        </w:rPr>
        <w:t>拟投入本项目主要人员情况表</w:t>
      </w:r>
    </w:p>
    <w:p w14:paraId="1EE6A562">
      <w:pPr>
        <w:spacing w:line="288" w:lineRule="auto"/>
        <w:rPr>
          <w:rFonts w:hint="eastAsia" w:ascii="宋体" w:hAnsi="宋体"/>
          <w:b/>
          <w:highlight w:val="none"/>
          <w:u w:val="single"/>
        </w:rPr>
      </w:pPr>
    </w:p>
    <w:tbl>
      <w:tblPr>
        <w:tblStyle w:val="52"/>
        <w:tblW w:w="9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265"/>
        <w:gridCol w:w="1111"/>
        <w:gridCol w:w="667"/>
        <w:gridCol w:w="1111"/>
        <w:gridCol w:w="889"/>
        <w:gridCol w:w="1581"/>
        <w:gridCol w:w="1529"/>
        <w:gridCol w:w="889"/>
      </w:tblGrid>
      <w:tr w14:paraId="1CB7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788" w:type="dxa"/>
            <w:vAlign w:val="center"/>
          </w:tcPr>
          <w:p w14:paraId="11635069">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bidi="ar"/>
              </w:rPr>
              <w:t>序号</w:t>
            </w:r>
          </w:p>
        </w:tc>
        <w:tc>
          <w:tcPr>
            <w:tcW w:w="1265" w:type="dxa"/>
            <w:vAlign w:val="center"/>
          </w:tcPr>
          <w:p w14:paraId="2A107B47">
            <w:pPr>
              <w:widowControl/>
              <w:jc w:val="center"/>
              <w:textAlignment w:val="bottom"/>
              <w:rPr>
                <w:rFonts w:hint="eastAsia" w:asciiTheme="minorEastAsia" w:hAnsiTheme="minorEastAsia" w:eastAsiaTheme="minorEastAsia" w:cstheme="minorEastAsia"/>
                <w:kern w:val="0"/>
                <w:sz w:val="21"/>
                <w:szCs w:val="21"/>
                <w:highlight w:val="none"/>
                <w:lang w:bidi="ar"/>
              </w:rPr>
            </w:pPr>
            <w:r>
              <w:rPr>
                <w:rFonts w:hint="eastAsia" w:asciiTheme="minorEastAsia" w:hAnsiTheme="minorEastAsia" w:eastAsiaTheme="minorEastAsia" w:cstheme="minorEastAsia"/>
                <w:kern w:val="0"/>
                <w:sz w:val="21"/>
                <w:szCs w:val="21"/>
                <w:highlight w:val="none"/>
                <w:lang w:bidi="ar"/>
              </w:rPr>
              <w:t>在本项目</w:t>
            </w:r>
          </w:p>
          <w:p w14:paraId="55560FEF">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bidi="ar"/>
              </w:rPr>
              <w:t>任职</w:t>
            </w:r>
          </w:p>
        </w:tc>
        <w:tc>
          <w:tcPr>
            <w:tcW w:w="1111" w:type="dxa"/>
            <w:vAlign w:val="center"/>
          </w:tcPr>
          <w:p w14:paraId="61AE260E">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bidi="ar"/>
              </w:rPr>
              <w:t>姓名</w:t>
            </w:r>
          </w:p>
        </w:tc>
        <w:tc>
          <w:tcPr>
            <w:tcW w:w="667" w:type="dxa"/>
            <w:vAlign w:val="center"/>
          </w:tcPr>
          <w:p w14:paraId="70F6C5F1">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bidi="ar"/>
              </w:rPr>
              <w:t>学历</w:t>
            </w:r>
          </w:p>
        </w:tc>
        <w:tc>
          <w:tcPr>
            <w:tcW w:w="1111" w:type="dxa"/>
            <w:vAlign w:val="center"/>
          </w:tcPr>
          <w:p w14:paraId="4614AD1B">
            <w:pPr>
              <w:widowControl/>
              <w:jc w:val="center"/>
              <w:textAlignment w:val="bottom"/>
              <w:rPr>
                <w:rFonts w:hint="eastAsia" w:asciiTheme="minorEastAsia" w:hAnsiTheme="minorEastAsia" w:eastAsiaTheme="minorEastAsia" w:cstheme="minorEastAsia"/>
                <w:kern w:val="0"/>
                <w:sz w:val="21"/>
                <w:szCs w:val="21"/>
                <w:highlight w:val="none"/>
                <w:lang w:bidi="ar"/>
              </w:rPr>
            </w:pPr>
            <w:r>
              <w:rPr>
                <w:rFonts w:hint="eastAsia" w:asciiTheme="minorEastAsia" w:hAnsiTheme="minorEastAsia" w:eastAsiaTheme="minorEastAsia" w:cstheme="minorEastAsia"/>
                <w:kern w:val="0"/>
                <w:sz w:val="21"/>
                <w:szCs w:val="21"/>
                <w:highlight w:val="none"/>
                <w:lang w:bidi="ar"/>
              </w:rPr>
              <w:t>技术</w:t>
            </w:r>
          </w:p>
          <w:p w14:paraId="2241B6B5">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bidi="ar"/>
              </w:rPr>
              <w:t>职称</w:t>
            </w:r>
          </w:p>
        </w:tc>
        <w:tc>
          <w:tcPr>
            <w:tcW w:w="889" w:type="dxa"/>
            <w:vAlign w:val="center"/>
          </w:tcPr>
          <w:p w14:paraId="4E0B05AF">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bidi="ar"/>
              </w:rPr>
              <w:t>专业</w:t>
            </w:r>
          </w:p>
        </w:tc>
        <w:tc>
          <w:tcPr>
            <w:tcW w:w="1581" w:type="dxa"/>
            <w:vAlign w:val="center"/>
          </w:tcPr>
          <w:p w14:paraId="17E5F2CD">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专业工作年限</w:t>
            </w:r>
          </w:p>
        </w:tc>
        <w:tc>
          <w:tcPr>
            <w:tcW w:w="1529" w:type="dxa"/>
            <w:vAlign w:val="center"/>
          </w:tcPr>
          <w:p w14:paraId="6BA06F59">
            <w:pPr>
              <w:widowControl/>
              <w:jc w:val="center"/>
              <w:textAlignment w:val="bottom"/>
              <w:rPr>
                <w:rFonts w:hint="eastAsia" w:asciiTheme="minorEastAsia" w:hAnsiTheme="minorEastAsia" w:eastAsiaTheme="minorEastAsia" w:cstheme="minorEastAsia"/>
                <w:kern w:val="0"/>
                <w:sz w:val="21"/>
                <w:szCs w:val="21"/>
                <w:highlight w:val="none"/>
                <w:lang w:bidi="ar"/>
              </w:rPr>
            </w:pPr>
            <w:r>
              <w:rPr>
                <w:rFonts w:hint="eastAsia" w:asciiTheme="minorEastAsia" w:hAnsiTheme="minorEastAsia" w:eastAsiaTheme="minorEastAsia" w:cstheme="minorEastAsia"/>
                <w:kern w:val="0"/>
                <w:sz w:val="21"/>
                <w:szCs w:val="21"/>
                <w:highlight w:val="none"/>
                <w:lang w:bidi="ar"/>
              </w:rPr>
              <w:t>身份证号</w:t>
            </w:r>
          </w:p>
        </w:tc>
        <w:tc>
          <w:tcPr>
            <w:tcW w:w="889" w:type="dxa"/>
            <w:vAlign w:val="center"/>
          </w:tcPr>
          <w:p w14:paraId="04DC911D">
            <w:pPr>
              <w:widowControl/>
              <w:jc w:val="center"/>
              <w:textAlignment w:val="bottom"/>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备注</w:t>
            </w:r>
          </w:p>
        </w:tc>
      </w:tr>
      <w:tr w14:paraId="0239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4CCED5F4">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35F2DB11">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40CAE475">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42AB28B5">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3B45772E">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72F9E7DD">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7841066A">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719FF788">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20E81352">
            <w:pPr>
              <w:spacing w:line="300" w:lineRule="auto"/>
              <w:jc w:val="center"/>
              <w:rPr>
                <w:rFonts w:hint="eastAsia" w:asciiTheme="minorEastAsia" w:hAnsiTheme="minorEastAsia" w:eastAsiaTheme="minorEastAsia" w:cstheme="minorEastAsia"/>
                <w:b/>
                <w:kern w:val="0"/>
                <w:sz w:val="21"/>
                <w:szCs w:val="21"/>
                <w:highlight w:val="none"/>
              </w:rPr>
            </w:pPr>
          </w:p>
        </w:tc>
      </w:tr>
      <w:tr w14:paraId="239D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37DC4CA">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0AF33B67">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303A8380">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4FD38CB6">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01C9F272">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3B66A81A">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6C4BB91F">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3009DCA3">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05623528">
            <w:pPr>
              <w:spacing w:line="300" w:lineRule="auto"/>
              <w:jc w:val="center"/>
              <w:rPr>
                <w:rFonts w:hint="eastAsia" w:asciiTheme="minorEastAsia" w:hAnsiTheme="minorEastAsia" w:eastAsiaTheme="minorEastAsia" w:cstheme="minorEastAsia"/>
                <w:b/>
                <w:kern w:val="0"/>
                <w:sz w:val="21"/>
                <w:szCs w:val="21"/>
                <w:highlight w:val="none"/>
              </w:rPr>
            </w:pPr>
          </w:p>
        </w:tc>
      </w:tr>
      <w:tr w14:paraId="3A09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7CC58DCD">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41DDF08D">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7A622D75">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2376D259">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20706917">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137C5925">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2474A65A">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2A1E903B">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718FF07C">
            <w:pPr>
              <w:spacing w:line="300" w:lineRule="auto"/>
              <w:jc w:val="center"/>
              <w:rPr>
                <w:rFonts w:hint="eastAsia" w:asciiTheme="minorEastAsia" w:hAnsiTheme="minorEastAsia" w:eastAsiaTheme="minorEastAsia" w:cstheme="minorEastAsia"/>
                <w:b/>
                <w:kern w:val="0"/>
                <w:sz w:val="21"/>
                <w:szCs w:val="21"/>
                <w:highlight w:val="none"/>
              </w:rPr>
            </w:pPr>
          </w:p>
        </w:tc>
      </w:tr>
      <w:tr w14:paraId="0647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473937A">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00ED844B">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32F8E3F9">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114EA02D">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10639FBA">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58F35555">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0A1D8D43">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2AC10A60">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4AB7BFD8">
            <w:pPr>
              <w:spacing w:line="300" w:lineRule="auto"/>
              <w:jc w:val="center"/>
              <w:rPr>
                <w:rFonts w:hint="eastAsia" w:asciiTheme="minorEastAsia" w:hAnsiTheme="minorEastAsia" w:eastAsiaTheme="minorEastAsia" w:cstheme="minorEastAsia"/>
                <w:b/>
                <w:kern w:val="0"/>
                <w:sz w:val="21"/>
                <w:szCs w:val="21"/>
                <w:highlight w:val="none"/>
              </w:rPr>
            </w:pPr>
          </w:p>
        </w:tc>
      </w:tr>
      <w:tr w14:paraId="4458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3D61A9C">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47C779A2">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4A922713">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63F1DAF8">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506A387B">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16059F1A">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70B568CE">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7A82A829">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017A1A85">
            <w:pPr>
              <w:spacing w:line="300" w:lineRule="auto"/>
              <w:jc w:val="center"/>
              <w:rPr>
                <w:rFonts w:hint="eastAsia" w:asciiTheme="minorEastAsia" w:hAnsiTheme="minorEastAsia" w:eastAsiaTheme="minorEastAsia" w:cstheme="minorEastAsia"/>
                <w:b/>
                <w:kern w:val="0"/>
                <w:sz w:val="21"/>
                <w:szCs w:val="21"/>
                <w:highlight w:val="none"/>
              </w:rPr>
            </w:pPr>
          </w:p>
        </w:tc>
      </w:tr>
      <w:tr w14:paraId="48D3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080B57F">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64BF6828">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1E0BA804">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40396C75">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76029785">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5C7BD368">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156A33FF">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265970BD">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5046D7DA">
            <w:pPr>
              <w:spacing w:line="300" w:lineRule="auto"/>
              <w:jc w:val="center"/>
              <w:rPr>
                <w:rFonts w:hint="eastAsia" w:asciiTheme="minorEastAsia" w:hAnsiTheme="minorEastAsia" w:eastAsiaTheme="minorEastAsia" w:cstheme="minorEastAsia"/>
                <w:b/>
                <w:kern w:val="0"/>
                <w:sz w:val="21"/>
                <w:szCs w:val="21"/>
                <w:highlight w:val="none"/>
              </w:rPr>
            </w:pPr>
          </w:p>
        </w:tc>
      </w:tr>
      <w:tr w14:paraId="57C4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7CB48826">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34D81D88">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61F1AA78">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0F25A30D">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31ECDAF4">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66988314">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03E97833">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2EB4FF84">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70BB2D43">
            <w:pPr>
              <w:spacing w:line="300" w:lineRule="auto"/>
              <w:jc w:val="center"/>
              <w:rPr>
                <w:rFonts w:hint="eastAsia" w:asciiTheme="minorEastAsia" w:hAnsiTheme="minorEastAsia" w:eastAsiaTheme="minorEastAsia" w:cstheme="minorEastAsia"/>
                <w:b/>
                <w:kern w:val="0"/>
                <w:sz w:val="21"/>
                <w:szCs w:val="21"/>
                <w:highlight w:val="none"/>
              </w:rPr>
            </w:pPr>
          </w:p>
        </w:tc>
      </w:tr>
      <w:tr w14:paraId="1E5E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2BE8D98">
            <w:pPr>
              <w:spacing w:line="300" w:lineRule="auto"/>
              <w:jc w:val="center"/>
              <w:rPr>
                <w:rFonts w:hint="eastAsia" w:asciiTheme="minorEastAsia" w:hAnsiTheme="minorEastAsia" w:eastAsiaTheme="minorEastAsia" w:cstheme="minorEastAsia"/>
                <w:b/>
                <w:kern w:val="0"/>
                <w:sz w:val="21"/>
                <w:szCs w:val="21"/>
                <w:highlight w:val="none"/>
              </w:rPr>
            </w:pPr>
          </w:p>
        </w:tc>
        <w:tc>
          <w:tcPr>
            <w:tcW w:w="1265" w:type="dxa"/>
            <w:vAlign w:val="center"/>
          </w:tcPr>
          <w:p w14:paraId="034ACBE6">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677CFB90">
            <w:pPr>
              <w:spacing w:line="300" w:lineRule="auto"/>
              <w:jc w:val="center"/>
              <w:rPr>
                <w:rFonts w:hint="eastAsia" w:asciiTheme="minorEastAsia" w:hAnsiTheme="minorEastAsia" w:eastAsiaTheme="minorEastAsia" w:cstheme="minorEastAsia"/>
                <w:b/>
                <w:kern w:val="0"/>
                <w:sz w:val="21"/>
                <w:szCs w:val="21"/>
                <w:highlight w:val="none"/>
              </w:rPr>
            </w:pPr>
          </w:p>
        </w:tc>
        <w:tc>
          <w:tcPr>
            <w:tcW w:w="667" w:type="dxa"/>
            <w:vAlign w:val="center"/>
          </w:tcPr>
          <w:p w14:paraId="40CBA852">
            <w:pPr>
              <w:spacing w:line="300" w:lineRule="auto"/>
              <w:jc w:val="center"/>
              <w:rPr>
                <w:rFonts w:hint="eastAsia" w:asciiTheme="minorEastAsia" w:hAnsiTheme="minorEastAsia" w:eastAsiaTheme="minorEastAsia" w:cstheme="minorEastAsia"/>
                <w:b/>
                <w:kern w:val="0"/>
                <w:sz w:val="21"/>
                <w:szCs w:val="21"/>
                <w:highlight w:val="none"/>
              </w:rPr>
            </w:pPr>
          </w:p>
        </w:tc>
        <w:tc>
          <w:tcPr>
            <w:tcW w:w="1111" w:type="dxa"/>
            <w:vAlign w:val="center"/>
          </w:tcPr>
          <w:p w14:paraId="60051692">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3E3FD580">
            <w:pPr>
              <w:spacing w:line="300" w:lineRule="auto"/>
              <w:jc w:val="center"/>
              <w:rPr>
                <w:rFonts w:hint="eastAsia" w:asciiTheme="minorEastAsia" w:hAnsiTheme="minorEastAsia" w:eastAsiaTheme="minorEastAsia" w:cstheme="minorEastAsia"/>
                <w:b/>
                <w:kern w:val="0"/>
                <w:sz w:val="21"/>
                <w:szCs w:val="21"/>
                <w:highlight w:val="none"/>
              </w:rPr>
            </w:pPr>
          </w:p>
        </w:tc>
        <w:tc>
          <w:tcPr>
            <w:tcW w:w="1581" w:type="dxa"/>
            <w:vAlign w:val="center"/>
          </w:tcPr>
          <w:p w14:paraId="31EE7002">
            <w:pPr>
              <w:spacing w:line="300" w:lineRule="auto"/>
              <w:jc w:val="center"/>
              <w:rPr>
                <w:rFonts w:hint="eastAsia" w:asciiTheme="minorEastAsia" w:hAnsiTheme="minorEastAsia" w:eastAsiaTheme="minorEastAsia" w:cstheme="minorEastAsia"/>
                <w:b/>
                <w:kern w:val="0"/>
                <w:sz w:val="21"/>
                <w:szCs w:val="21"/>
                <w:highlight w:val="none"/>
              </w:rPr>
            </w:pPr>
          </w:p>
        </w:tc>
        <w:tc>
          <w:tcPr>
            <w:tcW w:w="1529" w:type="dxa"/>
            <w:vAlign w:val="center"/>
          </w:tcPr>
          <w:p w14:paraId="234BD4C5">
            <w:pPr>
              <w:spacing w:line="300" w:lineRule="auto"/>
              <w:jc w:val="center"/>
              <w:rPr>
                <w:rFonts w:hint="eastAsia" w:asciiTheme="minorEastAsia" w:hAnsiTheme="minorEastAsia" w:eastAsiaTheme="minorEastAsia" w:cstheme="minorEastAsia"/>
                <w:b/>
                <w:kern w:val="0"/>
                <w:sz w:val="21"/>
                <w:szCs w:val="21"/>
                <w:highlight w:val="none"/>
              </w:rPr>
            </w:pPr>
          </w:p>
        </w:tc>
        <w:tc>
          <w:tcPr>
            <w:tcW w:w="889" w:type="dxa"/>
            <w:vAlign w:val="center"/>
          </w:tcPr>
          <w:p w14:paraId="2F2E4D74">
            <w:pPr>
              <w:spacing w:line="300" w:lineRule="auto"/>
              <w:jc w:val="center"/>
              <w:rPr>
                <w:rFonts w:hint="eastAsia" w:asciiTheme="minorEastAsia" w:hAnsiTheme="minorEastAsia" w:eastAsiaTheme="minorEastAsia" w:cstheme="minorEastAsia"/>
                <w:b/>
                <w:kern w:val="0"/>
                <w:sz w:val="21"/>
                <w:szCs w:val="21"/>
                <w:highlight w:val="none"/>
              </w:rPr>
            </w:pPr>
          </w:p>
        </w:tc>
      </w:tr>
    </w:tbl>
    <w:p w14:paraId="1CA52F91">
      <w:pPr>
        <w:ind w:firstLine="480"/>
        <w:rPr>
          <w:rFonts w:hint="eastAsia" w:asciiTheme="minorEastAsia" w:hAnsiTheme="minorEastAsia" w:eastAsiaTheme="minorEastAsia" w:cstheme="minorEastAsia"/>
          <w:bCs/>
          <w:sz w:val="21"/>
          <w:szCs w:val="21"/>
          <w:highlight w:val="none"/>
        </w:rPr>
      </w:pPr>
    </w:p>
    <w:p w14:paraId="081EA139">
      <w:pPr>
        <w:autoSpaceDE w:val="0"/>
        <w:autoSpaceDN w:val="0"/>
        <w:adjustRightInd w:val="0"/>
        <w:snapToGrid w:val="0"/>
        <w:spacing w:line="360" w:lineRule="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注：提供项目经理等人员相关证书和社保缴费证明复印件（或扫描件）。</w:t>
      </w:r>
    </w:p>
    <w:p w14:paraId="1A1BCF7E">
      <w:pPr>
        <w:jc w:val="center"/>
        <w:rPr>
          <w:rFonts w:ascii="宋体"/>
          <w:b/>
          <w:sz w:val="28"/>
          <w:szCs w:val="28"/>
          <w:highlight w:val="none"/>
        </w:rPr>
      </w:pPr>
      <w:r>
        <w:rPr>
          <w:highlight w:val="none"/>
        </w:rPr>
        <w:br w:type="page"/>
      </w:r>
      <w:r>
        <w:rPr>
          <w:rFonts w:hint="eastAsia" w:ascii="宋体" w:hAnsi="宋体" w:eastAsia="宋体" w:cs="Times New Roman"/>
          <w:b/>
          <w:sz w:val="28"/>
          <w:szCs w:val="28"/>
          <w:highlight w:val="none"/>
          <w:lang w:val="en-US" w:eastAsia="zh-CN"/>
        </w:rPr>
        <w:t>表3拟投入本标段主要人员经历表</w:t>
      </w:r>
    </w:p>
    <w:p w14:paraId="37F3C8B3">
      <w:pPr>
        <w:jc w:val="center"/>
        <w:rPr>
          <w:rFonts w:ascii="宋体"/>
          <w:b/>
          <w:sz w:val="28"/>
          <w:szCs w:val="28"/>
          <w:highlight w:val="none"/>
        </w:rPr>
      </w:pPr>
    </w:p>
    <w:tbl>
      <w:tblPr>
        <w:tblStyle w:val="52"/>
        <w:tblW w:w="4998" w:type="pct"/>
        <w:jc w:val="center"/>
        <w:tblLayout w:type="autofit"/>
        <w:tblCellMar>
          <w:top w:w="0" w:type="dxa"/>
          <w:left w:w="0" w:type="dxa"/>
          <w:bottom w:w="0" w:type="dxa"/>
          <w:right w:w="0" w:type="dxa"/>
        </w:tblCellMar>
      </w:tblPr>
      <w:tblGrid>
        <w:gridCol w:w="663"/>
        <w:gridCol w:w="1197"/>
        <w:gridCol w:w="838"/>
        <w:gridCol w:w="1172"/>
        <w:gridCol w:w="1174"/>
        <w:gridCol w:w="1172"/>
        <w:gridCol w:w="3447"/>
      </w:tblGrid>
      <w:tr w14:paraId="26477AB7">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675026">
            <w:pPr>
              <w:widowControl/>
              <w:jc w:val="center"/>
              <w:textAlignment w:val="bottom"/>
              <w:rPr>
                <w:rFonts w:hint="eastAsia" w:ascii="宋体" w:hAnsi="宋体" w:cs="Arial"/>
                <w:sz w:val="21"/>
                <w:szCs w:val="21"/>
                <w:highlight w:val="none"/>
              </w:rPr>
            </w:pPr>
            <w:r>
              <w:rPr>
                <w:rFonts w:hint="eastAsia" w:ascii="宋体" w:hAnsi="宋体" w:cs="Arial"/>
                <w:kern w:val="0"/>
                <w:sz w:val="21"/>
                <w:szCs w:val="21"/>
                <w:highlight w:val="none"/>
              </w:rPr>
              <w:t>序号</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7A8277">
            <w:pPr>
              <w:widowControl/>
              <w:jc w:val="center"/>
              <w:textAlignment w:val="bottom"/>
              <w:rPr>
                <w:rFonts w:hint="eastAsia" w:ascii="宋体" w:hAnsi="宋体" w:cs="Arial"/>
                <w:sz w:val="21"/>
                <w:szCs w:val="21"/>
                <w:highlight w:val="none"/>
              </w:rPr>
            </w:pPr>
            <w:r>
              <w:rPr>
                <w:rFonts w:hint="eastAsia" w:ascii="宋体" w:hAnsi="宋体" w:cs="Arial"/>
                <w:kern w:val="0"/>
                <w:sz w:val="21"/>
                <w:szCs w:val="21"/>
                <w:highlight w:val="none"/>
              </w:rPr>
              <w:t>担任职务</w:t>
            </w: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EC0612">
            <w:pPr>
              <w:widowControl/>
              <w:jc w:val="center"/>
              <w:textAlignment w:val="bottom"/>
              <w:rPr>
                <w:rFonts w:hint="eastAsia" w:ascii="宋体" w:hAnsi="宋体" w:cs="Arial"/>
                <w:sz w:val="21"/>
                <w:szCs w:val="21"/>
                <w:highlight w:val="none"/>
              </w:rPr>
            </w:pPr>
            <w:r>
              <w:rPr>
                <w:rFonts w:hint="eastAsia" w:ascii="宋体" w:hAnsi="宋体" w:cs="Arial"/>
                <w:kern w:val="0"/>
                <w:sz w:val="21"/>
                <w:szCs w:val="21"/>
                <w:highlight w:val="none"/>
              </w:rPr>
              <w:t>姓名</w:t>
            </w: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B19750">
            <w:pPr>
              <w:widowControl/>
              <w:jc w:val="center"/>
              <w:textAlignment w:val="bottom"/>
              <w:rPr>
                <w:rFonts w:hint="eastAsia" w:ascii="宋体" w:hAnsi="宋体" w:cs="Arial"/>
                <w:sz w:val="21"/>
                <w:szCs w:val="21"/>
                <w:highlight w:val="none"/>
              </w:rPr>
            </w:pPr>
            <w:r>
              <w:rPr>
                <w:rFonts w:hint="eastAsia" w:ascii="宋体" w:hAnsi="宋体" w:cs="Arial"/>
                <w:kern w:val="0"/>
                <w:sz w:val="21"/>
                <w:szCs w:val="21"/>
                <w:highlight w:val="none"/>
                <w:lang w:val="en-US" w:eastAsia="zh-CN"/>
              </w:rPr>
              <w:t>合同</w:t>
            </w:r>
            <w:r>
              <w:rPr>
                <w:rFonts w:hint="eastAsia" w:ascii="宋体" w:hAnsi="宋体" w:cs="Arial"/>
                <w:kern w:val="0"/>
                <w:sz w:val="21"/>
                <w:szCs w:val="21"/>
                <w:highlight w:val="none"/>
              </w:rPr>
              <w:t>时间</w:t>
            </w: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9F0234">
            <w:pPr>
              <w:widowControl/>
              <w:jc w:val="center"/>
              <w:textAlignment w:val="bottom"/>
              <w:rPr>
                <w:rFonts w:hint="eastAsia" w:ascii="宋体" w:hAnsi="宋体" w:eastAsia="宋体" w:cs="Arial"/>
                <w:sz w:val="21"/>
                <w:szCs w:val="21"/>
                <w:highlight w:val="none"/>
                <w:lang w:eastAsia="zh-CN"/>
              </w:rPr>
            </w:pPr>
            <w:r>
              <w:rPr>
                <w:rFonts w:hint="eastAsia" w:ascii="宋体" w:hAnsi="宋体" w:cs="Arial"/>
                <w:kern w:val="0"/>
                <w:sz w:val="21"/>
                <w:szCs w:val="21"/>
                <w:highlight w:val="none"/>
              </w:rPr>
              <w:t>项目</w:t>
            </w:r>
            <w:r>
              <w:rPr>
                <w:rFonts w:hint="eastAsia" w:ascii="宋体" w:hAnsi="宋体" w:cs="Arial"/>
                <w:kern w:val="0"/>
                <w:sz w:val="21"/>
                <w:szCs w:val="21"/>
                <w:highlight w:val="none"/>
                <w:lang w:val="en-US" w:eastAsia="zh-CN"/>
              </w:rPr>
              <w:t>名称</w:t>
            </w: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2480E5">
            <w:pPr>
              <w:widowControl/>
              <w:jc w:val="center"/>
              <w:textAlignment w:val="bottom"/>
              <w:rPr>
                <w:rFonts w:hint="eastAsia" w:ascii="宋体" w:hAnsi="宋体" w:eastAsia="宋体" w:cs="Arial"/>
                <w:sz w:val="21"/>
                <w:szCs w:val="21"/>
                <w:highlight w:val="none"/>
                <w:lang w:eastAsia="zh-CN"/>
              </w:rPr>
            </w:pPr>
            <w:r>
              <w:rPr>
                <w:rFonts w:hint="eastAsia" w:ascii="宋体" w:hAnsi="宋体" w:cs="Arial"/>
                <w:kern w:val="0"/>
                <w:sz w:val="21"/>
                <w:szCs w:val="21"/>
                <w:highlight w:val="none"/>
              </w:rPr>
              <w:t>项目</w:t>
            </w:r>
            <w:r>
              <w:rPr>
                <w:rFonts w:hint="eastAsia" w:ascii="宋体" w:hAnsi="宋体" w:cs="Arial"/>
                <w:kern w:val="0"/>
                <w:sz w:val="21"/>
                <w:szCs w:val="21"/>
                <w:highlight w:val="none"/>
                <w:lang w:val="en-US" w:eastAsia="zh-CN"/>
              </w:rPr>
              <w:t>职务</w:t>
            </w: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B71C2B6">
            <w:pPr>
              <w:widowControl/>
              <w:jc w:val="center"/>
              <w:textAlignment w:val="bottom"/>
              <w:rPr>
                <w:rFonts w:hint="eastAsia" w:ascii="宋体" w:hAnsi="宋体" w:cs="Arial"/>
                <w:sz w:val="21"/>
                <w:szCs w:val="21"/>
                <w:highlight w:val="none"/>
              </w:rPr>
            </w:pPr>
            <w:r>
              <w:rPr>
                <w:rFonts w:hint="eastAsia" w:ascii="宋体" w:hAnsi="宋体" w:cs="Arial"/>
                <w:kern w:val="0"/>
                <w:sz w:val="21"/>
                <w:szCs w:val="21"/>
                <w:highlight w:val="none"/>
              </w:rPr>
              <w:t>项目简介</w:t>
            </w:r>
          </w:p>
        </w:tc>
      </w:tr>
      <w:tr w14:paraId="1BBCE710">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F3B739B">
            <w:pPr>
              <w:widowControl/>
              <w:jc w:val="center"/>
              <w:textAlignment w:val="bottom"/>
              <w:rPr>
                <w:rFonts w:hint="eastAsia" w:ascii="宋体" w:hAnsi="宋体" w:cs="Arial"/>
                <w:sz w:val="21"/>
                <w:szCs w:val="21"/>
                <w:highlight w:val="none"/>
              </w:rPr>
            </w:pPr>
            <w:r>
              <w:rPr>
                <w:rFonts w:ascii="宋体" w:hAnsi="宋体" w:cs="Arial"/>
                <w:kern w:val="0"/>
                <w:sz w:val="21"/>
                <w:szCs w:val="21"/>
                <w:highlight w:val="none"/>
              </w:rPr>
              <w:t>1</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6CED2D5">
            <w:pPr>
              <w:widowControl/>
              <w:jc w:val="left"/>
              <w:textAlignment w:val="bottom"/>
              <w:rPr>
                <w:rFonts w:hint="eastAsia" w:ascii="宋体" w:hAnsi="宋体" w:cs="Arial"/>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77B00D6">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DBC1D9">
            <w:pPr>
              <w:widowControl/>
              <w:jc w:val="left"/>
              <w:textAlignment w:val="bottom"/>
              <w:rPr>
                <w:rFonts w:hint="eastAsia" w:ascii="宋体" w:hAnsi="宋体" w:cs="Arial"/>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6420C3">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49BC93">
            <w:pPr>
              <w:widowControl/>
              <w:jc w:val="left"/>
              <w:textAlignment w:val="bottom"/>
              <w:rPr>
                <w:rFonts w:hint="eastAsia" w:ascii="宋体" w:hAnsi="宋体" w:cs="Arial"/>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D3FDCF">
            <w:pPr>
              <w:widowControl/>
              <w:jc w:val="left"/>
              <w:textAlignment w:val="bottom"/>
              <w:rPr>
                <w:rFonts w:hint="eastAsia" w:ascii="宋体" w:hAnsi="宋体" w:cs="Arial"/>
                <w:sz w:val="21"/>
                <w:szCs w:val="21"/>
                <w:highlight w:val="none"/>
              </w:rPr>
            </w:pPr>
          </w:p>
        </w:tc>
      </w:tr>
      <w:tr w14:paraId="506542DC">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F903D7">
            <w:pPr>
              <w:widowControl/>
              <w:jc w:val="center"/>
              <w:textAlignment w:val="bottom"/>
              <w:rPr>
                <w:rFonts w:hint="eastAsia" w:ascii="宋体" w:hAnsi="宋体" w:cs="Arial"/>
                <w:sz w:val="21"/>
                <w:szCs w:val="21"/>
                <w:highlight w:val="none"/>
              </w:rPr>
            </w:pPr>
            <w:r>
              <w:rPr>
                <w:rFonts w:ascii="宋体" w:hAnsi="宋体" w:cs="Arial"/>
                <w:kern w:val="0"/>
                <w:sz w:val="21"/>
                <w:szCs w:val="21"/>
                <w:highlight w:val="none"/>
              </w:rPr>
              <w:t>2</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151D55">
            <w:pPr>
              <w:widowControl/>
              <w:jc w:val="left"/>
              <w:textAlignment w:val="bottom"/>
              <w:rPr>
                <w:rFonts w:hint="eastAsia" w:ascii="宋体" w:hAnsi="宋体" w:cs="Arial"/>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1311A1">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B983FD4">
            <w:pPr>
              <w:widowControl/>
              <w:jc w:val="left"/>
              <w:textAlignment w:val="bottom"/>
              <w:rPr>
                <w:rFonts w:hint="eastAsia" w:ascii="宋体" w:hAnsi="宋体" w:cs="Arial"/>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F773E3">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25C633">
            <w:pPr>
              <w:widowControl/>
              <w:jc w:val="left"/>
              <w:textAlignment w:val="bottom"/>
              <w:rPr>
                <w:rFonts w:hint="eastAsia" w:ascii="宋体" w:hAnsi="宋体" w:cs="Arial"/>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315A63">
            <w:pPr>
              <w:widowControl/>
              <w:jc w:val="left"/>
              <w:textAlignment w:val="bottom"/>
              <w:rPr>
                <w:rFonts w:hint="eastAsia" w:ascii="宋体" w:hAnsi="宋体" w:cs="Arial"/>
                <w:sz w:val="21"/>
                <w:szCs w:val="21"/>
                <w:highlight w:val="none"/>
              </w:rPr>
            </w:pPr>
          </w:p>
        </w:tc>
      </w:tr>
      <w:tr w14:paraId="5D18807C">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BBDED70">
            <w:pPr>
              <w:widowControl/>
              <w:jc w:val="center"/>
              <w:textAlignment w:val="bottom"/>
              <w:rPr>
                <w:rFonts w:hint="eastAsia" w:ascii="宋体" w:hAnsi="宋体" w:eastAsia="宋体" w:cs="Arial"/>
                <w:kern w:val="0"/>
                <w:sz w:val="21"/>
                <w:szCs w:val="21"/>
                <w:highlight w:val="none"/>
                <w:lang w:val="en-US" w:eastAsia="zh-CN"/>
              </w:rPr>
            </w:pPr>
            <w:r>
              <w:rPr>
                <w:rFonts w:hint="eastAsia" w:ascii="宋体" w:hAnsi="宋体" w:cs="Arial"/>
                <w:kern w:val="0"/>
                <w:sz w:val="21"/>
                <w:szCs w:val="21"/>
                <w:highlight w:val="none"/>
                <w:lang w:val="en-US" w:eastAsia="zh-CN"/>
              </w:rPr>
              <w:t>3</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6BD40FE">
            <w:pPr>
              <w:widowControl/>
              <w:jc w:val="left"/>
              <w:textAlignment w:val="bottom"/>
              <w:rPr>
                <w:rFonts w:hint="eastAsia" w:ascii="宋体" w:hAnsi="宋体" w:cs="Arial"/>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976F93">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B38C7C">
            <w:pPr>
              <w:widowControl/>
              <w:jc w:val="left"/>
              <w:textAlignment w:val="bottom"/>
              <w:rPr>
                <w:rFonts w:hint="eastAsia" w:ascii="宋体" w:hAnsi="宋体" w:cs="Arial"/>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91E7423">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1F34F2">
            <w:pPr>
              <w:widowControl/>
              <w:jc w:val="left"/>
              <w:textAlignment w:val="bottom"/>
              <w:rPr>
                <w:rFonts w:hint="eastAsia" w:ascii="宋体" w:hAnsi="宋体" w:cs="Arial"/>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2B45CFF">
            <w:pPr>
              <w:widowControl/>
              <w:jc w:val="left"/>
              <w:textAlignment w:val="bottom"/>
              <w:rPr>
                <w:rFonts w:hint="eastAsia" w:ascii="宋体" w:hAnsi="宋体" w:cs="Arial"/>
                <w:sz w:val="21"/>
                <w:szCs w:val="21"/>
                <w:highlight w:val="none"/>
              </w:rPr>
            </w:pPr>
          </w:p>
        </w:tc>
      </w:tr>
      <w:tr w14:paraId="1026CADB">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D83366">
            <w:pPr>
              <w:widowControl/>
              <w:jc w:val="center"/>
              <w:textAlignment w:val="bottom"/>
              <w:rPr>
                <w:rFonts w:hint="eastAsia" w:ascii="宋体" w:hAnsi="宋体" w:eastAsia="宋体" w:cs="Arial"/>
                <w:kern w:val="0"/>
                <w:sz w:val="21"/>
                <w:szCs w:val="21"/>
                <w:highlight w:val="none"/>
                <w:lang w:val="en-US" w:eastAsia="zh-CN"/>
              </w:rPr>
            </w:pPr>
            <w:r>
              <w:rPr>
                <w:rFonts w:hint="eastAsia" w:ascii="宋体" w:hAnsi="宋体" w:cs="Arial"/>
                <w:kern w:val="0"/>
                <w:sz w:val="21"/>
                <w:szCs w:val="21"/>
                <w:highlight w:val="none"/>
                <w:lang w:val="en-US" w:eastAsia="zh-CN"/>
              </w:rPr>
              <w:t>4</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B578BB7">
            <w:pPr>
              <w:widowControl/>
              <w:jc w:val="left"/>
              <w:textAlignment w:val="bottom"/>
              <w:rPr>
                <w:rFonts w:hint="eastAsia" w:ascii="宋体" w:hAnsi="宋体" w:cs="Arial"/>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34FF16">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3DCF08">
            <w:pPr>
              <w:widowControl/>
              <w:jc w:val="left"/>
              <w:textAlignment w:val="bottom"/>
              <w:rPr>
                <w:rFonts w:hint="eastAsia" w:ascii="宋体" w:hAnsi="宋体" w:cs="Arial"/>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0B2B26">
            <w:pPr>
              <w:widowControl/>
              <w:jc w:val="left"/>
              <w:textAlignment w:val="bottom"/>
              <w:rPr>
                <w:rFonts w:hint="eastAsia" w:ascii="宋体" w:hAnsi="宋体" w:cs="Arial"/>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FEF772">
            <w:pPr>
              <w:widowControl/>
              <w:jc w:val="left"/>
              <w:textAlignment w:val="bottom"/>
              <w:rPr>
                <w:rFonts w:hint="eastAsia" w:ascii="宋体" w:hAnsi="宋体" w:cs="Arial"/>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2495CE1">
            <w:pPr>
              <w:widowControl/>
              <w:jc w:val="left"/>
              <w:textAlignment w:val="bottom"/>
              <w:rPr>
                <w:rFonts w:hint="eastAsia" w:ascii="宋体" w:hAnsi="宋体" w:cs="Arial"/>
                <w:sz w:val="21"/>
                <w:szCs w:val="21"/>
                <w:highlight w:val="none"/>
              </w:rPr>
            </w:pPr>
          </w:p>
        </w:tc>
      </w:tr>
    </w:tbl>
    <w:p w14:paraId="57C2C2EB">
      <w:pPr>
        <w:autoSpaceDE w:val="0"/>
        <w:autoSpaceDN w:val="0"/>
        <w:adjustRightInd w:val="0"/>
        <w:snapToGrid w:val="0"/>
        <w:spacing w:line="360" w:lineRule="auto"/>
        <w:rPr>
          <w:rFonts w:hint="eastAsia" w:ascii="宋体" w:hAnsi="宋体"/>
          <w:kern w:val="0"/>
          <w:sz w:val="21"/>
          <w:szCs w:val="21"/>
          <w:highlight w:val="none"/>
        </w:rPr>
      </w:pPr>
      <w:r>
        <w:rPr>
          <w:rFonts w:hint="eastAsia" w:ascii="宋体" w:hAnsi="宋体"/>
          <w:kern w:val="0"/>
          <w:sz w:val="21"/>
          <w:szCs w:val="21"/>
          <w:highlight w:val="none"/>
        </w:rPr>
        <w:t>注：</w:t>
      </w:r>
      <w:r>
        <w:rPr>
          <w:rFonts w:hint="eastAsia" w:ascii="宋体" w:hAnsi="宋体"/>
          <w:kern w:val="0"/>
          <w:sz w:val="21"/>
          <w:szCs w:val="21"/>
          <w:highlight w:val="none"/>
          <w:lang w:val="en-US" w:eastAsia="zh-CN"/>
        </w:rPr>
        <w:t>须</w:t>
      </w:r>
      <w:r>
        <w:rPr>
          <w:rFonts w:hint="eastAsia" w:ascii="宋体" w:hAnsi="宋体"/>
          <w:kern w:val="0"/>
          <w:sz w:val="21"/>
          <w:szCs w:val="21"/>
          <w:highlight w:val="none"/>
        </w:rPr>
        <w:t>提供</w:t>
      </w:r>
      <w:r>
        <w:rPr>
          <w:rFonts w:hint="eastAsia" w:ascii="宋体" w:hAnsi="宋体"/>
          <w:kern w:val="0"/>
          <w:sz w:val="21"/>
          <w:szCs w:val="21"/>
          <w:highlight w:val="none"/>
          <w:lang w:val="en-US" w:eastAsia="zh-CN"/>
        </w:rPr>
        <w:t>项目</w:t>
      </w:r>
      <w:r>
        <w:rPr>
          <w:rFonts w:hint="eastAsia" w:ascii="宋体" w:hAnsi="宋体"/>
          <w:kern w:val="0"/>
          <w:sz w:val="21"/>
          <w:szCs w:val="21"/>
          <w:highlight w:val="none"/>
        </w:rPr>
        <w:t>合同复印件（或扫描件），若上述材料无法体现相关内容（如项目</w:t>
      </w:r>
      <w:r>
        <w:rPr>
          <w:rFonts w:hint="eastAsia" w:ascii="宋体" w:hAnsi="宋体"/>
          <w:kern w:val="0"/>
          <w:sz w:val="21"/>
          <w:szCs w:val="21"/>
          <w:highlight w:val="none"/>
          <w:lang w:val="en-US" w:eastAsia="zh-CN"/>
        </w:rPr>
        <w:t>职务等</w:t>
      </w:r>
      <w:r>
        <w:rPr>
          <w:rFonts w:hint="eastAsia" w:ascii="宋体" w:hAnsi="宋体"/>
          <w:kern w:val="0"/>
          <w:sz w:val="21"/>
          <w:szCs w:val="21"/>
          <w:highlight w:val="none"/>
        </w:rPr>
        <w:t>），须同时提供委托方出具的加盖公章的相关证明材料复印件（或扫描件））。</w:t>
      </w:r>
    </w:p>
    <w:p w14:paraId="65BC98C5">
      <w:pPr>
        <w:pStyle w:val="49"/>
        <w:rPr>
          <w:highlight w:val="none"/>
        </w:rPr>
      </w:pPr>
    </w:p>
    <w:p w14:paraId="0F3DB0E2">
      <w:pPr>
        <w:pStyle w:val="4"/>
        <w:snapToGrid w:val="0"/>
        <w:spacing w:before="0" w:after="0" w:line="360" w:lineRule="auto"/>
        <w:jc w:val="center"/>
        <w:rPr>
          <w:rFonts w:hint="eastAsia" w:ascii="宋体" w:hAnsi="宋体"/>
          <w:w w:val="99"/>
          <w:kern w:val="0"/>
          <w:sz w:val="28"/>
          <w:szCs w:val="28"/>
          <w:highlight w:val="none"/>
        </w:rPr>
      </w:pPr>
      <w:bookmarkStart w:id="116" w:name="_Toc399835248"/>
      <w:bookmarkStart w:id="117" w:name="_Toc269802993"/>
      <w:bookmarkStart w:id="118" w:name="_Toc401319710"/>
      <w:bookmarkStart w:id="119" w:name="_Toc430172184"/>
      <w:bookmarkStart w:id="120" w:name="_Toc374610578"/>
      <w:bookmarkStart w:id="121" w:name="_Toc337640257"/>
      <w:bookmarkStart w:id="122" w:name="_Toc374350138"/>
      <w:bookmarkStart w:id="123" w:name="_Toc587"/>
      <w:bookmarkStart w:id="124" w:name="_Toc430602410"/>
      <w:bookmarkStart w:id="125" w:name="_Toc298742487"/>
      <w:bookmarkStart w:id="126" w:name="_Toc249975287"/>
      <w:bookmarkStart w:id="127" w:name="_Toc399835172"/>
      <w:r>
        <w:rPr>
          <w:rFonts w:hint="eastAsia" w:ascii="宋体" w:hAnsi="宋体"/>
          <w:w w:val="99"/>
          <w:kern w:val="0"/>
          <w:sz w:val="28"/>
          <w:szCs w:val="28"/>
          <w:highlight w:val="none"/>
        </w:rPr>
        <w:br w:type="page"/>
      </w:r>
      <w:bookmarkEnd w:id="116"/>
      <w:bookmarkEnd w:id="117"/>
      <w:bookmarkEnd w:id="118"/>
      <w:bookmarkEnd w:id="119"/>
      <w:bookmarkEnd w:id="120"/>
      <w:bookmarkEnd w:id="121"/>
      <w:bookmarkEnd w:id="122"/>
      <w:bookmarkEnd w:id="123"/>
      <w:bookmarkEnd w:id="124"/>
      <w:bookmarkEnd w:id="125"/>
      <w:bookmarkEnd w:id="126"/>
      <w:bookmarkEnd w:id="127"/>
      <w:bookmarkStart w:id="128" w:name="_Toc337640258"/>
      <w:bookmarkStart w:id="129" w:name="_Toc430172185"/>
      <w:bookmarkStart w:id="130" w:name="_Toc374610579"/>
      <w:bookmarkStart w:id="131" w:name="_Toc18155"/>
      <w:bookmarkStart w:id="132" w:name="_Toc401319711"/>
      <w:bookmarkStart w:id="133" w:name="_Toc374350139"/>
      <w:bookmarkStart w:id="134" w:name="_Toc298742488"/>
      <w:bookmarkStart w:id="135" w:name="_Toc399835249"/>
      <w:bookmarkStart w:id="136" w:name="_Toc399835173"/>
      <w:bookmarkStart w:id="137" w:name="_Toc430602411"/>
    </w:p>
    <w:bookmarkEnd w:id="128"/>
    <w:bookmarkEnd w:id="129"/>
    <w:bookmarkEnd w:id="130"/>
    <w:bookmarkEnd w:id="131"/>
    <w:bookmarkEnd w:id="132"/>
    <w:bookmarkEnd w:id="133"/>
    <w:bookmarkEnd w:id="134"/>
    <w:bookmarkEnd w:id="135"/>
    <w:bookmarkEnd w:id="136"/>
    <w:bookmarkEnd w:id="137"/>
    <w:p w14:paraId="4CB7967B">
      <w:pPr>
        <w:pStyle w:val="4"/>
        <w:snapToGrid w:val="0"/>
        <w:spacing w:before="0" w:after="0" w:line="360" w:lineRule="auto"/>
        <w:jc w:val="center"/>
        <w:rPr>
          <w:rFonts w:hint="eastAsia" w:ascii="宋体" w:hAnsi="宋体" w:eastAsia="宋体" w:cs="Times New Roman"/>
          <w:b/>
          <w:bCs w:val="0"/>
          <w:kern w:val="2"/>
          <w:sz w:val="28"/>
          <w:szCs w:val="28"/>
          <w:highlight w:val="none"/>
          <w:lang w:val="en-US" w:eastAsia="zh-CN" w:bidi="ar-SA"/>
        </w:rPr>
      </w:pPr>
      <w:r>
        <w:rPr>
          <w:rFonts w:hint="eastAsia" w:ascii="宋体" w:hAnsi="宋体" w:eastAsia="宋体" w:cs="Times New Roman"/>
          <w:b/>
          <w:bCs w:val="0"/>
          <w:kern w:val="2"/>
          <w:sz w:val="28"/>
          <w:szCs w:val="28"/>
          <w:highlight w:val="none"/>
          <w:lang w:val="en-US" w:eastAsia="zh-CN" w:bidi="ar-SA"/>
        </w:rPr>
        <w:t>表4 投标人业绩表</w:t>
      </w:r>
    </w:p>
    <w:tbl>
      <w:tblPr>
        <w:tblStyle w:val="52"/>
        <w:tblW w:w="47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282"/>
        <w:gridCol w:w="1295"/>
        <w:gridCol w:w="1648"/>
        <w:gridCol w:w="951"/>
        <w:gridCol w:w="1363"/>
        <w:gridCol w:w="2115"/>
      </w:tblGrid>
      <w:tr w14:paraId="087A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3A14D85B">
            <w:pPr>
              <w:spacing w:line="400" w:lineRule="exact"/>
              <w:jc w:val="center"/>
              <w:rPr>
                <w:rFonts w:hint="eastAsia" w:ascii="宋体" w:hAnsi="宋体"/>
                <w:sz w:val="21"/>
                <w:szCs w:val="21"/>
                <w:highlight w:val="none"/>
              </w:rPr>
            </w:pPr>
            <w:r>
              <w:rPr>
                <w:rFonts w:hint="eastAsia" w:ascii="宋体" w:hAnsi="宋体"/>
                <w:sz w:val="21"/>
                <w:szCs w:val="21"/>
                <w:highlight w:val="none"/>
              </w:rPr>
              <w:t>序号</w:t>
            </w:r>
          </w:p>
        </w:tc>
        <w:tc>
          <w:tcPr>
            <w:tcW w:w="684" w:type="pct"/>
            <w:vAlign w:val="center"/>
          </w:tcPr>
          <w:p w14:paraId="4CBCF592">
            <w:pPr>
              <w:spacing w:line="400" w:lineRule="exact"/>
              <w:jc w:val="center"/>
              <w:rPr>
                <w:rFonts w:hint="eastAsia" w:ascii="宋体" w:hAnsi="宋体"/>
                <w:sz w:val="21"/>
                <w:szCs w:val="21"/>
                <w:highlight w:val="none"/>
              </w:rPr>
            </w:pPr>
            <w:r>
              <w:rPr>
                <w:rFonts w:hint="eastAsia" w:ascii="宋体" w:hAnsi="宋体"/>
                <w:sz w:val="21"/>
                <w:szCs w:val="21"/>
                <w:highlight w:val="none"/>
              </w:rPr>
              <w:t>项目名称</w:t>
            </w:r>
          </w:p>
        </w:tc>
        <w:tc>
          <w:tcPr>
            <w:tcW w:w="691" w:type="pct"/>
            <w:vAlign w:val="center"/>
          </w:tcPr>
          <w:p w14:paraId="0825CC11">
            <w:pPr>
              <w:spacing w:line="400" w:lineRule="exact"/>
              <w:jc w:val="center"/>
              <w:rPr>
                <w:rFonts w:hint="eastAsia" w:ascii="宋体" w:hAnsi="宋体"/>
                <w:sz w:val="21"/>
                <w:szCs w:val="21"/>
                <w:highlight w:val="none"/>
              </w:rPr>
            </w:pPr>
            <w:r>
              <w:rPr>
                <w:rFonts w:hint="eastAsia" w:ascii="宋体" w:hAnsi="宋体"/>
                <w:sz w:val="21"/>
                <w:szCs w:val="21"/>
                <w:highlight w:val="none"/>
              </w:rPr>
              <w:t>发包单位</w:t>
            </w:r>
          </w:p>
        </w:tc>
        <w:tc>
          <w:tcPr>
            <w:tcW w:w="879" w:type="pct"/>
            <w:vAlign w:val="center"/>
          </w:tcPr>
          <w:p w14:paraId="2D125C7A">
            <w:pPr>
              <w:spacing w:line="400" w:lineRule="exact"/>
              <w:jc w:val="center"/>
              <w:rPr>
                <w:rFonts w:hint="eastAsia" w:ascii="宋体" w:hAnsi="宋体"/>
                <w:sz w:val="21"/>
                <w:szCs w:val="21"/>
                <w:highlight w:val="none"/>
              </w:rPr>
            </w:pPr>
            <w:r>
              <w:rPr>
                <w:rFonts w:hint="eastAsia" w:ascii="宋体" w:hAnsi="宋体"/>
                <w:sz w:val="21"/>
                <w:szCs w:val="21"/>
                <w:highlight w:val="none"/>
              </w:rPr>
              <w:t>开、竣工时间</w:t>
            </w:r>
          </w:p>
        </w:tc>
        <w:tc>
          <w:tcPr>
            <w:tcW w:w="507" w:type="pct"/>
            <w:vAlign w:val="center"/>
          </w:tcPr>
          <w:p w14:paraId="347285EB">
            <w:pPr>
              <w:spacing w:line="400" w:lineRule="exact"/>
              <w:jc w:val="center"/>
              <w:rPr>
                <w:rFonts w:hint="eastAsia" w:ascii="宋体" w:hAnsi="宋体"/>
                <w:sz w:val="21"/>
                <w:szCs w:val="21"/>
                <w:highlight w:val="none"/>
              </w:rPr>
            </w:pPr>
            <w:r>
              <w:rPr>
                <w:rFonts w:hint="eastAsia" w:ascii="宋体" w:hAnsi="宋体"/>
                <w:sz w:val="21"/>
                <w:szCs w:val="21"/>
                <w:highlight w:val="none"/>
              </w:rPr>
              <w:t>合同价</w:t>
            </w:r>
          </w:p>
        </w:tc>
        <w:tc>
          <w:tcPr>
            <w:tcW w:w="727" w:type="pct"/>
            <w:vAlign w:val="center"/>
          </w:tcPr>
          <w:p w14:paraId="28885ACB">
            <w:pPr>
              <w:spacing w:line="400" w:lineRule="exact"/>
              <w:jc w:val="center"/>
              <w:rPr>
                <w:rFonts w:hint="eastAsia" w:ascii="宋体" w:hAnsi="宋体"/>
                <w:sz w:val="21"/>
                <w:szCs w:val="21"/>
                <w:highlight w:val="none"/>
              </w:rPr>
            </w:pPr>
            <w:r>
              <w:rPr>
                <w:rFonts w:hint="eastAsia" w:ascii="宋体" w:hAnsi="宋体"/>
                <w:sz w:val="21"/>
                <w:szCs w:val="21"/>
                <w:highlight w:val="none"/>
              </w:rPr>
              <w:t>项目经理</w:t>
            </w:r>
          </w:p>
        </w:tc>
        <w:tc>
          <w:tcPr>
            <w:tcW w:w="1128" w:type="pct"/>
            <w:vAlign w:val="center"/>
          </w:tcPr>
          <w:p w14:paraId="120FF018">
            <w:pPr>
              <w:spacing w:line="400" w:lineRule="exact"/>
              <w:jc w:val="center"/>
              <w:rPr>
                <w:rFonts w:hint="eastAsia" w:ascii="宋体" w:hAnsi="宋体"/>
                <w:sz w:val="21"/>
                <w:szCs w:val="21"/>
                <w:highlight w:val="none"/>
              </w:rPr>
            </w:pPr>
            <w:r>
              <w:rPr>
                <w:rFonts w:hint="eastAsia" w:ascii="宋体" w:hAnsi="宋体"/>
                <w:sz w:val="21"/>
                <w:szCs w:val="21"/>
                <w:highlight w:val="none"/>
              </w:rPr>
              <w:t>项目简介</w:t>
            </w:r>
          </w:p>
        </w:tc>
      </w:tr>
      <w:tr w14:paraId="7813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61905294">
            <w:pPr>
              <w:spacing w:line="400" w:lineRule="exact"/>
              <w:jc w:val="center"/>
              <w:rPr>
                <w:rFonts w:hint="eastAsia" w:ascii="宋体" w:hAnsi="宋体"/>
                <w:sz w:val="21"/>
                <w:szCs w:val="21"/>
                <w:highlight w:val="none"/>
              </w:rPr>
            </w:pPr>
          </w:p>
        </w:tc>
        <w:tc>
          <w:tcPr>
            <w:tcW w:w="684" w:type="pct"/>
            <w:vAlign w:val="center"/>
          </w:tcPr>
          <w:p w14:paraId="78BCED40">
            <w:pPr>
              <w:spacing w:line="400" w:lineRule="exact"/>
              <w:rPr>
                <w:rFonts w:hint="eastAsia" w:ascii="宋体" w:hAnsi="宋体"/>
                <w:sz w:val="21"/>
                <w:szCs w:val="21"/>
                <w:highlight w:val="none"/>
              </w:rPr>
            </w:pPr>
          </w:p>
        </w:tc>
        <w:tc>
          <w:tcPr>
            <w:tcW w:w="691" w:type="pct"/>
            <w:vAlign w:val="center"/>
          </w:tcPr>
          <w:p w14:paraId="02E6A943">
            <w:pPr>
              <w:spacing w:line="400" w:lineRule="exact"/>
              <w:rPr>
                <w:rFonts w:hint="eastAsia" w:ascii="宋体" w:hAnsi="宋体"/>
                <w:sz w:val="21"/>
                <w:szCs w:val="21"/>
                <w:highlight w:val="none"/>
              </w:rPr>
            </w:pPr>
          </w:p>
        </w:tc>
        <w:tc>
          <w:tcPr>
            <w:tcW w:w="879" w:type="pct"/>
            <w:vAlign w:val="center"/>
          </w:tcPr>
          <w:p w14:paraId="65F8304D">
            <w:pPr>
              <w:spacing w:line="400" w:lineRule="exact"/>
              <w:rPr>
                <w:rFonts w:hint="eastAsia" w:ascii="宋体" w:hAnsi="宋体"/>
                <w:sz w:val="21"/>
                <w:szCs w:val="21"/>
                <w:highlight w:val="none"/>
              </w:rPr>
            </w:pPr>
          </w:p>
        </w:tc>
        <w:tc>
          <w:tcPr>
            <w:tcW w:w="507" w:type="pct"/>
            <w:vAlign w:val="center"/>
          </w:tcPr>
          <w:p w14:paraId="7D61E651">
            <w:pPr>
              <w:spacing w:line="400" w:lineRule="exact"/>
              <w:rPr>
                <w:rFonts w:hint="eastAsia" w:ascii="宋体" w:hAnsi="宋体"/>
                <w:sz w:val="21"/>
                <w:szCs w:val="21"/>
                <w:highlight w:val="none"/>
              </w:rPr>
            </w:pPr>
          </w:p>
        </w:tc>
        <w:tc>
          <w:tcPr>
            <w:tcW w:w="727" w:type="pct"/>
            <w:vAlign w:val="center"/>
          </w:tcPr>
          <w:p w14:paraId="2FCDBB4C">
            <w:pPr>
              <w:spacing w:line="400" w:lineRule="exact"/>
              <w:rPr>
                <w:rFonts w:hint="eastAsia" w:ascii="宋体" w:hAnsi="宋体"/>
                <w:sz w:val="21"/>
                <w:szCs w:val="21"/>
                <w:highlight w:val="none"/>
              </w:rPr>
            </w:pPr>
          </w:p>
        </w:tc>
        <w:tc>
          <w:tcPr>
            <w:tcW w:w="1128" w:type="pct"/>
            <w:vAlign w:val="center"/>
          </w:tcPr>
          <w:p w14:paraId="02970E7B">
            <w:pPr>
              <w:spacing w:line="400" w:lineRule="exact"/>
              <w:rPr>
                <w:rFonts w:hint="eastAsia" w:ascii="宋体" w:hAnsi="宋体"/>
                <w:sz w:val="21"/>
                <w:szCs w:val="21"/>
                <w:highlight w:val="none"/>
              </w:rPr>
            </w:pPr>
          </w:p>
        </w:tc>
      </w:tr>
      <w:tr w14:paraId="20F7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151EE5E8">
            <w:pPr>
              <w:spacing w:line="400" w:lineRule="exact"/>
              <w:jc w:val="center"/>
              <w:rPr>
                <w:rFonts w:hint="eastAsia" w:ascii="宋体" w:hAnsi="宋体"/>
                <w:sz w:val="21"/>
                <w:szCs w:val="21"/>
                <w:highlight w:val="none"/>
              </w:rPr>
            </w:pPr>
          </w:p>
        </w:tc>
        <w:tc>
          <w:tcPr>
            <w:tcW w:w="684" w:type="pct"/>
            <w:vAlign w:val="center"/>
          </w:tcPr>
          <w:p w14:paraId="5D66B7BE">
            <w:pPr>
              <w:spacing w:line="400" w:lineRule="exact"/>
              <w:rPr>
                <w:rFonts w:hint="eastAsia" w:ascii="宋体" w:hAnsi="宋体"/>
                <w:sz w:val="21"/>
                <w:szCs w:val="21"/>
                <w:highlight w:val="none"/>
              </w:rPr>
            </w:pPr>
          </w:p>
        </w:tc>
        <w:tc>
          <w:tcPr>
            <w:tcW w:w="691" w:type="pct"/>
            <w:vAlign w:val="center"/>
          </w:tcPr>
          <w:p w14:paraId="48A3D248">
            <w:pPr>
              <w:spacing w:line="400" w:lineRule="exact"/>
              <w:rPr>
                <w:rFonts w:hint="eastAsia" w:ascii="宋体" w:hAnsi="宋体"/>
                <w:sz w:val="21"/>
                <w:szCs w:val="21"/>
                <w:highlight w:val="none"/>
              </w:rPr>
            </w:pPr>
          </w:p>
        </w:tc>
        <w:tc>
          <w:tcPr>
            <w:tcW w:w="879" w:type="pct"/>
            <w:vAlign w:val="center"/>
          </w:tcPr>
          <w:p w14:paraId="4FC70153">
            <w:pPr>
              <w:spacing w:line="400" w:lineRule="exact"/>
              <w:rPr>
                <w:rFonts w:hint="eastAsia" w:ascii="宋体" w:hAnsi="宋体"/>
                <w:sz w:val="21"/>
                <w:szCs w:val="21"/>
                <w:highlight w:val="none"/>
              </w:rPr>
            </w:pPr>
          </w:p>
        </w:tc>
        <w:tc>
          <w:tcPr>
            <w:tcW w:w="507" w:type="pct"/>
            <w:vAlign w:val="center"/>
          </w:tcPr>
          <w:p w14:paraId="208ABFF2">
            <w:pPr>
              <w:spacing w:line="400" w:lineRule="exact"/>
              <w:rPr>
                <w:rFonts w:hint="eastAsia" w:ascii="宋体" w:hAnsi="宋体"/>
                <w:sz w:val="21"/>
                <w:szCs w:val="21"/>
                <w:highlight w:val="none"/>
              </w:rPr>
            </w:pPr>
          </w:p>
        </w:tc>
        <w:tc>
          <w:tcPr>
            <w:tcW w:w="727" w:type="pct"/>
            <w:vAlign w:val="center"/>
          </w:tcPr>
          <w:p w14:paraId="05F264E2">
            <w:pPr>
              <w:spacing w:line="400" w:lineRule="exact"/>
              <w:rPr>
                <w:rFonts w:hint="eastAsia" w:ascii="宋体" w:hAnsi="宋体"/>
                <w:sz w:val="21"/>
                <w:szCs w:val="21"/>
                <w:highlight w:val="none"/>
              </w:rPr>
            </w:pPr>
          </w:p>
        </w:tc>
        <w:tc>
          <w:tcPr>
            <w:tcW w:w="1128" w:type="pct"/>
            <w:vAlign w:val="center"/>
          </w:tcPr>
          <w:p w14:paraId="3F14EDE5">
            <w:pPr>
              <w:spacing w:line="400" w:lineRule="exact"/>
              <w:rPr>
                <w:rFonts w:hint="eastAsia" w:ascii="宋体" w:hAnsi="宋体"/>
                <w:sz w:val="21"/>
                <w:szCs w:val="21"/>
                <w:highlight w:val="none"/>
              </w:rPr>
            </w:pPr>
          </w:p>
        </w:tc>
      </w:tr>
      <w:tr w14:paraId="7D8D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48AEFBF1">
            <w:pPr>
              <w:spacing w:line="400" w:lineRule="exact"/>
              <w:jc w:val="center"/>
              <w:rPr>
                <w:rFonts w:hint="eastAsia" w:ascii="宋体" w:hAnsi="宋体"/>
                <w:sz w:val="21"/>
                <w:szCs w:val="21"/>
                <w:highlight w:val="none"/>
              </w:rPr>
            </w:pPr>
          </w:p>
        </w:tc>
        <w:tc>
          <w:tcPr>
            <w:tcW w:w="684" w:type="pct"/>
            <w:vAlign w:val="center"/>
          </w:tcPr>
          <w:p w14:paraId="7C041DFF">
            <w:pPr>
              <w:spacing w:line="400" w:lineRule="exact"/>
              <w:rPr>
                <w:rFonts w:hint="eastAsia" w:ascii="宋体" w:hAnsi="宋体"/>
                <w:sz w:val="21"/>
                <w:szCs w:val="21"/>
                <w:highlight w:val="none"/>
              </w:rPr>
            </w:pPr>
          </w:p>
        </w:tc>
        <w:tc>
          <w:tcPr>
            <w:tcW w:w="691" w:type="pct"/>
            <w:vAlign w:val="center"/>
          </w:tcPr>
          <w:p w14:paraId="44FFAA7C">
            <w:pPr>
              <w:spacing w:line="400" w:lineRule="exact"/>
              <w:rPr>
                <w:rFonts w:hint="eastAsia" w:ascii="宋体" w:hAnsi="宋体"/>
                <w:sz w:val="21"/>
                <w:szCs w:val="21"/>
                <w:highlight w:val="none"/>
              </w:rPr>
            </w:pPr>
          </w:p>
        </w:tc>
        <w:tc>
          <w:tcPr>
            <w:tcW w:w="879" w:type="pct"/>
            <w:vAlign w:val="center"/>
          </w:tcPr>
          <w:p w14:paraId="1F3C31CA">
            <w:pPr>
              <w:spacing w:line="400" w:lineRule="exact"/>
              <w:rPr>
                <w:rFonts w:hint="eastAsia" w:ascii="宋体" w:hAnsi="宋体"/>
                <w:sz w:val="21"/>
                <w:szCs w:val="21"/>
                <w:highlight w:val="none"/>
              </w:rPr>
            </w:pPr>
          </w:p>
        </w:tc>
        <w:tc>
          <w:tcPr>
            <w:tcW w:w="507" w:type="pct"/>
            <w:vAlign w:val="center"/>
          </w:tcPr>
          <w:p w14:paraId="634EC495">
            <w:pPr>
              <w:spacing w:line="400" w:lineRule="exact"/>
              <w:rPr>
                <w:rFonts w:hint="eastAsia" w:ascii="宋体" w:hAnsi="宋体"/>
                <w:sz w:val="21"/>
                <w:szCs w:val="21"/>
                <w:highlight w:val="none"/>
              </w:rPr>
            </w:pPr>
          </w:p>
        </w:tc>
        <w:tc>
          <w:tcPr>
            <w:tcW w:w="727" w:type="pct"/>
            <w:vAlign w:val="center"/>
          </w:tcPr>
          <w:p w14:paraId="5FD87CCA">
            <w:pPr>
              <w:spacing w:line="400" w:lineRule="exact"/>
              <w:rPr>
                <w:rFonts w:hint="eastAsia" w:ascii="宋体" w:hAnsi="宋体"/>
                <w:sz w:val="21"/>
                <w:szCs w:val="21"/>
                <w:highlight w:val="none"/>
              </w:rPr>
            </w:pPr>
          </w:p>
        </w:tc>
        <w:tc>
          <w:tcPr>
            <w:tcW w:w="1128" w:type="pct"/>
            <w:vAlign w:val="center"/>
          </w:tcPr>
          <w:p w14:paraId="0F384A78">
            <w:pPr>
              <w:spacing w:line="400" w:lineRule="exact"/>
              <w:rPr>
                <w:rFonts w:hint="eastAsia" w:ascii="宋体" w:hAnsi="宋体"/>
                <w:sz w:val="21"/>
                <w:szCs w:val="21"/>
                <w:highlight w:val="none"/>
              </w:rPr>
            </w:pPr>
          </w:p>
        </w:tc>
      </w:tr>
      <w:tr w14:paraId="4C99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3E110E09">
            <w:pPr>
              <w:spacing w:line="400" w:lineRule="exact"/>
              <w:jc w:val="center"/>
              <w:rPr>
                <w:rFonts w:hint="eastAsia" w:ascii="宋体" w:hAnsi="宋体"/>
                <w:sz w:val="21"/>
                <w:szCs w:val="21"/>
                <w:highlight w:val="none"/>
              </w:rPr>
            </w:pPr>
          </w:p>
        </w:tc>
        <w:tc>
          <w:tcPr>
            <w:tcW w:w="684" w:type="pct"/>
            <w:vAlign w:val="center"/>
          </w:tcPr>
          <w:p w14:paraId="2F54406B">
            <w:pPr>
              <w:spacing w:line="400" w:lineRule="exact"/>
              <w:rPr>
                <w:rFonts w:hint="eastAsia" w:ascii="宋体" w:hAnsi="宋体"/>
                <w:sz w:val="21"/>
                <w:szCs w:val="21"/>
                <w:highlight w:val="none"/>
              </w:rPr>
            </w:pPr>
          </w:p>
        </w:tc>
        <w:tc>
          <w:tcPr>
            <w:tcW w:w="691" w:type="pct"/>
            <w:vAlign w:val="center"/>
          </w:tcPr>
          <w:p w14:paraId="4E3817D8">
            <w:pPr>
              <w:spacing w:line="400" w:lineRule="exact"/>
              <w:rPr>
                <w:rFonts w:hint="eastAsia" w:ascii="宋体" w:hAnsi="宋体"/>
                <w:sz w:val="21"/>
                <w:szCs w:val="21"/>
                <w:highlight w:val="none"/>
              </w:rPr>
            </w:pPr>
          </w:p>
        </w:tc>
        <w:tc>
          <w:tcPr>
            <w:tcW w:w="879" w:type="pct"/>
            <w:vAlign w:val="center"/>
          </w:tcPr>
          <w:p w14:paraId="58F7A48A">
            <w:pPr>
              <w:spacing w:line="400" w:lineRule="exact"/>
              <w:rPr>
                <w:rFonts w:hint="eastAsia" w:ascii="宋体" w:hAnsi="宋体"/>
                <w:sz w:val="21"/>
                <w:szCs w:val="21"/>
                <w:highlight w:val="none"/>
              </w:rPr>
            </w:pPr>
          </w:p>
        </w:tc>
        <w:tc>
          <w:tcPr>
            <w:tcW w:w="507" w:type="pct"/>
            <w:vAlign w:val="center"/>
          </w:tcPr>
          <w:p w14:paraId="2F7031A1">
            <w:pPr>
              <w:spacing w:line="400" w:lineRule="exact"/>
              <w:rPr>
                <w:rFonts w:hint="eastAsia" w:ascii="宋体" w:hAnsi="宋体"/>
                <w:sz w:val="21"/>
                <w:szCs w:val="21"/>
                <w:highlight w:val="none"/>
              </w:rPr>
            </w:pPr>
          </w:p>
        </w:tc>
        <w:tc>
          <w:tcPr>
            <w:tcW w:w="727" w:type="pct"/>
            <w:vAlign w:val="center"/>
          </w:tcPr>
          <w:p w14:paraId="7E2CABC0">
            <w:pPr>
              <w:spacing w:line="400" w:lineRule="exact"/>
              <w:rPr>
                <w:rFonts w:hint="eastAsia" w:ascii="宋体" w:hAnsi="宋体"/>
                <w:sz w:val="21"/>
                <w:szCs w:val="21"/>
                <w:highlight w:val="none"/>
              </w:rPr>
            </w:pPr>
          </w:p>
        </w:tc>
        <w:tc>
          <w:tcPr>
            <w:tcW w:w="1128" w:type="pct"/>
            <w:vAlign w:val="center"/>
          </w:tcPr>
          <w:p w14:paraId="12C5E2C8">
            <w:pPr>
              <w:spacing w:line="400" w:lineRule="exact"/>
              <w:rPr>
                <w:rFonts w:hint="eastAsia" w:ascii="宋体" w:hAnsi="宋体"/>
                <w:sz w:val="21"/>
                <w:szCs w:val="21"/>
                <w:highlight w:val="none"/>
              </w:rPr>
            </w:pPr>
          </w:p>
        </w:tc>
      </w:tr>
      <w:tr w14:paraId="378C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4555355D">
            <w:pPr>
              <w:spacing w:line="400" w:lineRule="exact"/>
              <w:jc w:val="center"/>
              <w:rPr>
                <w:rFonts w:hint="eastAsia" w:ascii="宋体" w:hAnsi="宋体"/>
                <w:sz w:val="21"/>
                <w:szCs w:val="21"/>
                <w:highlight w:val="none"/>
              </w:rPr>
            </w:pPr>
          </w:p>
        </w:tc>
        <w:tc>
          <w:tcPr>
            <w:tcW w:w="684" w:type="pct"/>
            <w:vAlign w:val="center"/>
          </w:tcPr>
          <w:p w14:paraId="70ED1244">
            <w:pPr>
              <w:spacing w:line="400" w:lineRule="exact"/>
              <w:rPr>
                <w:rFonts w:hint="eastAsia" w:ascii="宋体" w:hAnsi="宋体"/>
                <w:sz w:val="21"/>
                <w:szCs w:val="21"/>
                <w:highlight w:val="none"/>
              </w:rPr>
            </w:pPr>
          </w:p>
        </w:tc>
        <w:tc>
          <w:tcPr>
            <w:tcW w:w="691" w:type="pct"/>
            <w:vAlign w:val="center"/>
          </w:tcPr>
          <w:p w14:paraId="51E2A09B">
            <w:pPr>
              <w:spacing w:line="400" w:lineRule="exact"/>
              <w:rPr>
                <w:rFonts w:hint="eastAsia" w:ascii="宋体" w:hAnsi="宋体"/>
                <w:sz w:val="21"/>
                <w:szCs w:val="21"/>
                <w:highlight w:val="none"/>
              </w:rPr>
            </w:pPr>
          </w:p>
        </w:tc>
        <w:tc>
          <w:tcPr>
            <w:tcW w:w="879" w:type="pct"/>
            <w:vAlign w:val="center"/>
          </w:tcPr>
          <w:p w14:paraId="7E383558">
            <w:pPr>
              <w:spacing w:line="400" w:lineRule="exact"/>
              <w:rPr>
                <w:rFonts w:hint="eastAsia" w:ascii="宋体" w:hAnsi="宋体"/>
                <w:sz w:val="21"/>
                <w:szCs w:val="21"/>
                <w:highlight w:val="none"/>
              </w:rPr>
            </w:pPr>
          </w:p>
        </w:tc>
        <w:tc>
          <w:tcPr>
            <w:tcW w:w="507" w:type="pct"/>
            <w:vAlign w:val="center"/>
          </w:tcPr>
          <w:p w14:paraId="4D636568">
            <w:pPr>
              <w:spacing w:line="400" w:lineRule="exact"/>
              <w:rPr>
                <w:rFonts w:hint="eastAsia" w:ascii="宋体" w:hAnsi="宋体"/>
                <w:sz w:val="21"/>
                <w:szCs w:val="21"/>
                <w:highlight w:val="none"/>
              </w:rPr>
            </w:pPr>
          </w:p>
        </w:tc>
        <w:tc>
          <w:tcPr>
            <w:tcW w:w="727" w:type="pct"/>
            <w:vAlign w:val="center"/>
          </w:tcPr>
          <w:p w14:paraId="79362B1B">
            <w:pPr>
              <w:spacing w:line="400" w:lineRule="exact"/>
              <w:rPr>
                <w:rFonts w:hint="eastAsia" w:ascii="宋体" w:hAnsi="宋体"/>
                <w:sz w:val="21"/>
                <w:szCs w:val="21"/>
                <w:highlight w:val="none"/>
              </w:rPr>
            </w:pPr>
          </w:p>
        </w:tc>
        <w:tc>
          <w:tcPr>
            <w:tcW w:w="1128" w:type="pct"/>
            <w:vAlign w:val="center"/>
          </w:tcPr>
          <w:p w14:paraId="2E20B354">
            <w:pPr>
              <w:spacing w:line="400" w:lineRule="exact"/>
              <w:rPr>
                <w:rFonts w:hint="eastAsia" w:ascii="宋体" w:hAnsi="宋体"/>
                <w:sz w:val="21"/>
                <w:szCs w:val="21"/>
                <w:highlight w:val="none"/>
              </w:rPr>
            </w:pPr>
          </w:p>
        </w:tc>
      </w:tr>
    </w:tbl>
    <w:p w14:paraId="2286B2D6">
      <w:pPr>
        <w:rPr>
          <w:rFonts w:hint="eastAsia" w:ascii="宋体" w:hAnsi="宋体"/>
          <w:sz w:val="21"/>
          <w:szCs w:val="21"/>
          <w:highlight w:val="none"/>
        </w:rPr>
      </w:pPr>
    </w:p>
    <w:p w14:paraId="248784F3">
      <w:pPr>
        <w:autoSpaceDE w:val="0"/>
        <w:autoSpaceDN w:val="0"/>
        <w:adjustRightInd w:val="0"/>
        <w:snapToGrid w:val="0"/>
        <w:spacing w:line="360" w:lineRule="auto"/>
        <w:rPr>
          <w:rFonts w:hint="eastAsia" w:ascii="宋体" w:hAnsi="宋体"/>
          <w:kern w:val="0"/>
          <w:sz w:val="21"/>
          <w:szCs w:val="21"/>
          <w:highlight w:val="none"/>
          <w:lang w:eastAsia="zh-CN"/>
        </w:rPr>
      </w:pPr>
      <w:r>
        <w:rPr>
          <w:rFonts w:hint="eastAsia" w:ascii="宋体" w:hAnsi="宋体"/>
          <w:kern w:val="0"/>
          <w:sz w:val="21"/>
          <w:szCs w:val="21"/>
          <w:highlight w:val="none"/>
        </w:rPr>
        <w:t>注：</w:t>
      </w:r>
      <w:r>
        <w:rPr>
          <w:rFonts w:hint="eastAsia" w:ascii="宋体" w:hAnsi="宋体"/>
          <w:kern w:val="0"/>
          <w:sz w:val="21"/>
          <w:szCs w:val="21"/>
          <w:highlight w:val="none"/>
          <w:lang w:val="en-US" w:eastAsia="zh-CN"/>
        </w:rPr>
        <w:t>须</w:t>
      </w:r>
      <w:r>
        <w:rPr>
          <w:rFonts w:hint="eastAsia" w:ascii="宋体" w:hAnsi="宋体"/>
          <w:kern w:val="0"/>
          <w:sz w:val="21"/>
          <w:szCs w:val="21"/>
          <w:highlight w:val="none"/>
        </w:rPr>
        <w:t>提供</w:t>
      </w:r>
      <w:r>
        <w:rPr>
          <w:rFonts w:hint="eastAsia" w:ascii="宋体" w:hAnsi="宋体"/>
          <w:kern w:val="0"/>
          <w:sz w:val="21"/>
          <w:szCs w:val="21"/>
          <w:highlight w:val="none"/>
          <w:lang w:val="en-US" w:eastAsia="zh-CN"/>
        </w:rPr>
        <w:t>项目</w:t>
      </w:r>
      <w:r>
        <w:rPr>
          <w:rFonts w:hint="eastAsia" w:ascii="宋体" w:hAnsi="宋体"/>
          <w:kern w:val="0"/>
          <w:sz w:val="21"/>
          <w:szCs w:val="21"/>
          <w:highlight w:val="none"/>
        </w:rPr>
        <w:t>合同复印件（或扫描件）</w:t>
      </w:r>
      <w:r>
        <w:rPr>
          <w:rFonts w:hint="eastAsia" w:ascii="宋体" w:hAnsi="宋体"/>
          <w:kern w:val="0"/>
          <w:sz w:val="21"/>
          <w:szCs w:val="21"/>
          <w:highlight w:val="none"/>
          <w:lang w:eastAsia="zh-CN"/>
        </w:rPr>
        <w:t>。</w:t>
      </w:r>
    </w:p>
    <w:p w14:paraId="6DF73188">
      <w:pPr>
        <w:rPr>
          <w:rFonts w:hint="eastAsia"/>
          <w:color w:val="auto"/>
          <w:w w:val="99"/>
          <w:kern w:val="0"/>
          <w:sz w:val="28"/>
          <w:szCs w:val="28"/>
          <w:highlight w:val="none"/>
          <w:lang w:val="en-US" w:eastAsia="zh-CN"/>
        </w:rPr>
      </w:pPr>
      <w:r>
        <w:rPr>
          <w:rFonts w:hint="eastAsia"/>
          <w:color w:val="auto"/>
          <w:w w:val="99"/>
          <w:kern w:val="0"/>
          <w:sz w:val="28"/>
          <w:szCs w:val="28"/>
          <w:highlight w:val="none"/>
          <w:lang w:val="en-US" w:eastAsia="zh-CN"/>
        </w:rPr>
        <w:br w:type="page"/>
      </w:r>
    </w:p>
    <w:p w14:paraId="69C269BB">
      <w:pPr>
        <w:pStyle w:val="4"/>
        <w:numPr>
          <w:ilvl w:val="0"/>
          <w:numId w:val="0"/>
        </w:numPr>
        <w:snapToGrid w:val="0"/>
        <w:spacing w:before="0" w:after="0" w:line="360" w:lineRule="auto"/>
        <w:jc w:val="center"/>
        <w:rPr>
          <w:rFonts w:hint="eastAsia"/>
          <w:color w:val="auto"/>
          <w:w w:val="99"/>
          <w:kern w:val="0"/>
          <w:sz w:val="28"/>
          <w:szCs w:val="28"/>
          <w:highlight w:val="none"/>
        </w:rPr>
      </w:pPr>
      <w:r>
        <w:rPr>
          <w:rFonts w:hint="eastAsia"/>
          <w:color w:val="auto"/>
          <w:w w:val="99"/>
          <w:kern w:val="0"/>
          <w:sz w:val="28"/>
          <w:szCs w:val="28"/>
          <w:highlight w:val="none"/>
          <w:lang w:val="en-US" w:eastAsia="zh-CN"/>
        </w:rPr>
        <w:t>表5</w:t>
      </w:r>
      <w:r>
        <w:rPr>
          <w:rFonts w:hint="eastAsia"/>
          <w:color w:val="auto"/>
          <w:w w:val="99"/>
          <w:kern w:val="0"/>
          <w:sz w:val="28"/>
          <w:szCs w:val="28"/>
          <w:highlight w:val="none"/>
        </w:rPr>
        <w:t>投标人与其他单位存在控股、管理关系情况表</w:t>
      </w:r>
    </w:p>
    <w:tbl>
      <w:tblPr>
        <w:tblStyle w:val="52"/>
        <w:tblW w:w="9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71"/>
        <w:gridCol w:w="4935"/>
      </w:tblGrid>
      <w:tr w14:paraId="681D6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4671" w:type="dxa"/>
            <w:noWrap w:val="0"/>
            <w:vAlign w:val="center"/>
          </w:tcPr>
          <w:p w14:paraId="57DD2B2D">
            <w:pPr>
              <w:widowControl/>
              <w:jc w:val="center"/>
              <w:rPr>
                <w:rFonts w:hint="eastAsia" w:ascii="宋体" w:hAnsi="宋体"/>
                <w:bCs/>
                <w:color w:val="auto"/>
                <w:kern w:val="0"/>
                <w:sz w:val="21"/>
                <w:szCs w:val="21"/>
                <w:highlight w:val="none"/>
              </w:rPr>
            </w:pPr>
            <w:r>
              <w:rPr>
                <w:rFonts w:hint="eastAsia" w:ascii="宋体" w:hAnsi="宋体"/>
                <w:bCs/>
                <w:color w:val="auto"/>
                <w:kern w:val="0"/>
                <w:sz w:val="21"/>
                <w:szCs w:val="21"/>
                <w:highlight w:val="none"/>
              </w:rPr>
              <w:t>与投标人存在控股、管理关系的单位名称</w:t>
            </w:r>
          </w:p>
        </w:tc>
        <w:tc>
          <w:tcPr>
            <w:tcW w:w="4935" w:type="dxa"/>
            <w:noWrap w:val="0"/>
            <w:vAlign w:val="center"/>
          </w:tcPr>
          <w:p w14:paraId="1E83EBCC">
            <w:pPr>
              <w:widowControl/>
              <w:jc w:val="center"/>
              <w:rPr>
                <w:rFonts w:hint="eastAsia" w:ascii="宋体" w:hAnsi="宋体"/>
                <w:bCs/>
                <w:color w:val="auto"/>
                <w:kern w:val="0"/>
                <w:sz w:val="21"/>
                <w:szCs w:val="21"/>
                <w:highlight w:val="none"/>
              </w:rPr>
            </w:pPr>
            <w:r>
              <w:rPr>
                <w:rFonts w:hint="eastAsia" w:ascii="宋体" w:hAnsi="宋体"/>
                <w:bCs/>
                <w:color w:val="auto"/>
                <w:kern w:val="0"/>
                <w:sz w:val="21"/>
                <w:szCs w:val="21"/>
                <w:highlight w:val="none"/>
              </w:rPr>
              <w:t>控股、管理关系情况说明</w:t>
            </w:r>
          </w:p>
        </w:tc>
      </w:tr>
      <w:tr w14:paraId="6A59F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6C38ED8E">
            <w:pPr>
              <w:widowControl/>
              <w:jc w:val="center"/>
              <w:rPr>
                <w:rFonts w:hint="eastAsia" w:ascii="宋体" w:hAnsi="宋体"/>
                <w:bCs/>
                <w:color w:val="auto"/>
                <w:kern w:val="0"/>
                <w:sz w:val="21"/>
                <w:szCs w:val="21"/>
                <w:highlight w:val="none"/>
              </w:rPr>
            </w:pPr>
          </w:p>
        </w:tc>
        <w:tc>
          <w:tcPr>
            <w:tcW w:w="4935" w:type="dxa"/>
            <w:noWrap w:val="0"/>
            <w:vAlign w:val="center"/>
          </w:tcPr>
          <w:p w14:paraId="2C8D5AD0">
            <w:pPr>
              <w:widowControl/>
              <w:jc w:val="center"/>
              <w:rPr>
                <w:rFonts w:hint="eastAsia" w:ascii="宋体" w:hAnsi="宋体"/>
                <w:bCs/>
                <w:color w:val="auto"/>
                <w:kern w:val="0"/>
                <w:sz w:val="21"/>
                <w:szCs w:val="21"/>
                <w:highlight w:val="none"/>
              </w:rPr>
            </w:pPr>
          </w:p>
        </w:tc>
      </w:tr>
      <w:tr w14:paraId="4047E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54765FD9">
            <w:pPr>
              <w:widowControl/>
              <w:jc w:val="center"/>
              <w:rPr>
                <w:rFonts w:hint="eastAsia" w:ascii="宋体" w:hAnsi="宋体"/>
                <w:bCs/>
                <w:color w:val="auto"/>
                <w:kern w:val="0"/>
                <w:sz w:val="21"/>
                <w:szCs w:val="21"/>
                <w:highlight w:val="none"/>
              </w:rPr>
            </w:pPr>
          </w:p>
        </w:tc>
        <w:tc>
          <w:tcPr>
            <w:tcW w:w="4935" w:type="dxa"/>
            <w:noWrap w:val="0"/>
            <w:vAlign w:val="center"/>
          </w:tcPr>
          <w:p w14:paraId="39B8DEE9">
            <w:pPr>
              <w:widowControl/>
              <w:jc w:val="center"/>
              <w:rPr>
                <w:rFonts w:hint="eastAsia" w:ascii="宋体" w:hAnsi="宋体"/>
                <w:bCs/>
                <w:color w:val="auto"/>
                <w:kern w:val="0"/>
                <w:sz w:val="21"/>
                <w:szCs w:val="21"/>
                <w:highlight w:val="none"/>
              </w:rPr>
            </w:pPr>
          </w:p>
        </w:tc>
      </w:tr>
      <w:tr w14:paraId="23780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38F7B1B3">
            <w:pPr>
              <w:widowControl/>
              <w:jc w:val="center"/>
              <w:rPr>
                <w:rFonts w:hint="eastAsia" w:ascii="宋体" w:hAnsi="宋体"/>
                <w:bCs/>
                <w:color w:val="auto"/>
                <w:kern w:val="0"/>
                <w:sz w:val="21"/>
                <w:szCs w:val="21"/>
                <w:highlight w:val="none"/>
              </w:rPr>
            </w:pPr>
          </w:p>
        </w:tc>
        <w:tc>
          <w:tcPr>
            <w:tcW w:w="4935" w:type="dxa"/>
            <w:noWrap w:val="0"/>
            <w:vAlign w:val="center"/>
          </w:tcPr>
          <w:p w14:paraId="79C2B7FC">
            <w:pPr>
              <w:widowControl/>
              <w:jc w:val="center"/>
              <w:rPr>
                <w:rFonts w:hint="eastAsia" w:ascii="宋体" w:hAnsi="宋体"/>
                <w:bCs/>
                <w:color w:val="auto"/>
                <w:kern w:val="0"/>
                <w:sz w:val="21"/>
                <w:szCs w:val="21"/>
                <w:highlight w:val="none"/>
              </w:rPr>
            </w:pPr>
          </w:p>
        </w:tc>
      </w:tr>
      <w:tr w14:paraId="0665E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025FCCAA">
            <w:pPr>
              <w:widowControl/>
              <w:jc w:val="center"/>
              <w:rPr>
                <w:rFonts w:hint="eastAsia" w:ascii="宋体" w:hAnsi="宋体"/>
                <w:bCs/>
                <w:color w:val="auto"/>
                <w:kern w:val="0"/>
                <w:sz w:val="21"/>
                <w:szCs w:val="21"/>
                <w:highlight w:val="none"/>
              </w:rPr>
            </w:pPr>
          </w:p>
        </w:tc>
        <w:tc>
          <w:tcPr>
            <w:tcW w:w="4935" w:type="dxa"/>
            <w:noWrap w:val="0"/>
            <w:vAlign w:val="center"/>
          </w:tcPr>
          <w:p w14:paraId="3CC43D70">
            <w:pPr>
              <w:widowControl/>
              <w:jc w:val="center"/>
              <w:rPr>
                <w:rFonts w:hint="eastAsia" w:ascii="宋体" w:hAnsi="宋体"/>
                <w:bCs/>
                <w:color w:val="auto"/>
                <w:kern w:val="0"/>
                <w:sz w:val="21"/>
                <w:szCs w:val="21"/>
                <w:highlight w:val="none"/>
              </w:rPr>
            </w:pPr>
          </w:p>
        </w:tc>
      </w:tr>
      <w:tr w14:paraId="4FC34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20EA4B13">
            <w:pPr>
              <w:widowControl/>
              <w:jc w:val="center"/>
              <w:rPr>
                <w:rFonts w:hint="eastAsia" w:ascii="宋体" w:hAnsi="宋体"/>
                <w:bCs/>
                <w:color w:val="auto"/>
                <w:kern w:val="0"/>
                <w:sz w:val="21"/>
                <w:szCs w:val="21"/>
                <w:highlight w:val="none"/>
              </w:rPr>
            </w:pPr>
          </w:p>
        </w:tc>
        <w:tc>
          <w:tcPr>
            <w:tcW w:w="4935" w:type="dxa"/>
            <w:noWrap w:val="0"/>
            <w:vAlign w:val="center"/>
          </w:tcPr>
          <w:p w14:paraId="39CFBFBD">
            <w:pPr>
              <w:widowControl/>
              <w:jc w:val="center"/>
              <w:rPr>
                <w:rFonts w:hint="eastAsia" w:ascii="宋体" w:hAnsi="宋体"/>
                <w:bCs/>
                <w:color w:val="auto"/>
                <w:kern w:val="0"/>
                <w:sz w:val="21"/>
                <w:szCs w:val="21"/>
                <w:highlight w:val="none"/>
              </w:rPr>
            </w:pPr>
          </w:p>
        </w:tc>
      </w:tr>
      <w:tr w14:paraId="2ED80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4A7523D7">
            <w:pPr>
              <w:widowControl/>
              <w:jc w:val="center"/>
              <w:rPr>
                <w:rFonts w:hint="eastAsia" w:ascii="宋体" w:hAnsi="宋体"/>
                <w:bCs/>
                <w:color w:val="auto"/>
                <w:kern w:val="0"/>
                <w:sz w:val="21"/>
                <w:szCs w:val="21"/>
                <w:highlight w:val="none"/>
              </w:rPr>
            </w:pPr>
          </w:p>
        </w:tc>
        <w:tc>
          <w:tcPr>
            <w:tcW w:w="4935" w:type="dxa"/>
            <w:noWrap w:val="0"/>
            <w:vAlign w:val="center"/>
          </w:tcPr>
          <w:p w14:paraId="16DEFAF2">
            <w:pPr>
              <w:widowControl/>
              <w:jc w:val="center"/>
              <w:rPr>
                <w:rFonts w:hint="eastAsia" w:ascii="宋体" w:hAnsi="宋体"/>
                <w:bCs/>
                <w:color w:val="auto"/>
                <w:kern w:val="0"/>
                <w:sz w:val="21"/>
                <w:szCs w:val="21"/>
                <w:highlight w:val="none"/>
              </w:rPr>
            </w:pPr>
          </w:p>
        </w:tc>
      </w:tr>
    </w:tbl>
    <w:p w14:paraId="6D3C71FC">
      <w:pPr>
        <w:widowControl/>
        <w:spacing w:line="360" w:lineRule="auto"/>
        <w:jc w:val="left"/>
        <w:rPr>
          <w:rFonts w:hint="eastAsia" w:ascii="宋体" w:hAnsi="宋体"/>
          <w:b/>
          <w:color w:val="auto"/>
          <w:kern w:val="0"/>
          <w:szCs w:val="21"/>
          <w:highlight w:val="none"/>
        </w:rPr>
      </w:pPr>
      <w:r>
        <w:rPr>
          <w:rFonts w:hint="eastAsia" w:ascii="宋体" w:hAnsi="宋体"/>
          <w:b/>
          <w:color w:val="auto"/>
          <w:kern w:val="0"/>
          <w:szCs w:val="21"/>
          <w:highlight w:val="none"/>
        </w:rPr>
        <w:t xml:space="preserve">注：投标人须如实填写所有与之有控股、管理关系的情况； </w:t>
      </w:r>
    </w:p>
    <w:p w14:paraId="0BFCDC3A">
      <w:pPr>
        <w:widowControl/>
        <w:spacing w:line="360" w:lineRule="auto"/>
        <w:jc w:val="left"/>
        <w:rPr>
          <w:rFonts w:ascii="宋体" w:hAnsi="宋体"/>
          <w:b/>
          <w:color w:val="auto"/>
          <w:kern w:val="0"/>
          <w:szCs w:val="21"/>
          <w:highlight w:val="none"/>
        </w:rPr>
      </w:pPr>
    </w:p>
    <w:p w14:paraId="13F322AF">
      <w:pPr>
        <w:widowControl/>
        <w:spacing w:line="360" w:lineRule="auto"/>
        <w:jc w:val="left"/>
        <w:rPr>
          <w:rFonts w:hint="eastAsia" w:ascii="宋体" w:hAnsi="宋体"/>
          <w:b/>
          <w:color w:val="auto"/>
          <w:kern w:val="0"/>
          <w:szCs w:val="21"/>
          <w:highlight w:val="none"/>
        </w:rPr>
      </w:pPr>
    </w:p>
    <w:p w14:paraId="015AE2D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投标人（盖章）：</w:t>
      </w:r>
    </w:p>
    <w:p w14:paraId="3CBACDA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日期：</w:t>
      </w:r>
      <w:r>
        <w:rPr>
          <w:rFonts w:ascii="宋体" w:hAnsi="宋体"/>
          <w:color w:val="auto"/>
          <w:szCs w:val="21"/>
          <w:highlight w:val="none"/>
        </w:rPr>
        <w:t xml:space="preserve">      </w:t>
      </w:r>
      <w:r>
        <w:rPr>
          <w:rFonts w:hint="eastAsia" w:ascii="宋体" w:hAnsi="宋体"/>
          <w:color w:val="auto"/>
          <w:szCs w:val="21"/>
          <w:highlight w:val="none"/>
        </w:rPr>
        <w:t>年</w:t>
      </w:r>
      <w:r>
        <w:rPr>
          <w:rFonts w:ascii="宋体" w:hAnsi="宋体"/>
          <w:color w:val="auto"/>
          <w:szCs w:val="21"/>
          <w:highlight w:val="none"/>
        </w:rPr>
        <w:t xml:space="preserve">    </w:t>
      </w:r>
      <w:r>
        <w:rPr>
          <w:rFonts w:hint="eastAsia" w:ascii="宋体" w:hAnsi="宋体"/>
          <w:color w:val="auto"/>
          <w:szCs w:val="21"/>
          <w:highlight w:val="none"/>
        </w:rPr>
        <w:t>月</w:t>
      </w:r>
      <w:r>
        <w:rPr>
          <w:rFonts w:ascii="宋体" w:hAnsi="宋体"/>
          <w:color w:val="auto"/>
          <w:szCs w:val="21"/>
          <w:highlight w:val="none"/>
        </w:rPr>
        <w:t xml:space="preserve">    </w:t>
      </w:r>
      <w:r>
        <w:rPr>
          <w:rFonts w:hint="eastAsia" w:ascii="宋体" w:hAnsi="宋体"/>
          <w:color w:val="auto"/>
          <w:szCs w:val="21"/>
          <w:highlight w:val="none"/>
        </w:rPr>
        <w:t>日</w:t>
      </w:r>
    </w:p>
    <w:p w14:paraId="51B57266">
      <w:pPr>
        <w:autoSpaceDE w:val="0"/>
        <w:autoSpaceDN w:val="0"/>
        <w:adjustRightInd w:val="0"/>
        <w:snapToGrid w:val="0"/>
        <w:spacing w:line="360" w:lineRule="auto"/>
        <w:rPr>
          <w:rFonts w:hint="eastAsia" w:ascii="宋体" w:hAnsi="宋体"/>
          <w:kern w:val="0"/>
          <w:sz w:val="21"/>
          <w:szCs w:val="21"/>
          <w:highlight w:val="none"/>
          <w:lang w:eastAsia="zh-CN"/>
        </w:rPr>
      </w:pPr>
    </w:p>
    <w:p w14:paraId="3CAEEFB2">
      <w:pPr>
        <w:rPr>
          <w:rFonts w:hint="eastAsia" w:cs="黑体"/>
          <w:sz w:val="30"/>
          <w:szCs w:val="30"/>
          <w:highlight w:val="none"/>
        </w:rPr>
      </w:pPr>
      <w:r>
        <w:rPr>
          <w:rFonts w:hint="eastAsia" w:cs="黑体"/>
          <w:sz w:val="30"/>
          <w:szCs w:val="30"/>
          <w:highlight w:val="none"/>
        </w:rPr>
        <w:br w:type="page"/>
      </w:r>
    </w:p>
    <w:p w14:paraId="79BD994D">
      <w:pPr>
        <w:pStyle w:val="20"/>
        <w:spacing w:before="120" w:beforeLines="50" w:afterLines="50"/>
        <w:jc w:val="center"/>
        <w:rPr>
          <w:rFonts w:eastAsia="黑体"/>
          <w:sz w:val="32"/>
          <w:szCs w:val="32"/>
          <w:highlight w:val="none"/>
        </w:rPr>
      </w:pPr>
      <w:bookmarkStart w:id="138" w:name="_Toc232821999"/>
      <w:r>
        <w:rPr>
          <w:rFonts w:hint="eastAsia" w:eastAsia="黑体" w:cs="黑体"/>
          <w:sz w:val="32"/>
          <w:szCs w:val="32"/>
          <w:highlight w:val="none"/>
          <w:lang w:val="en-US" w:eastAsia="zh-CN"/>
        </w:rPr>
        <w:t>八</w:t>
      </w:r>
      <w:r>
        <w:rPr>
          <w:rFonts w:hint="eastAsia" w:eastAsia="黑体" w:cs="黑体"/>
          <w:sz w:val="32"/>
          <w:szCs w:val="32"/>
          <w:highlight w:val="none"/>
        </w:rPr>
        <w:t>、其他材料</w:t>
      </w:r>
      <w:bookmarkEnd w:id="138"/>
    </w:p>
    <w:p w14:paraId="58A7CCEB">
      <w:pPr>
        <w:keepNext/>
        <w:keepLines/>
        <w:snapToGrid w:val="0"/>
        <w:spacing w:line="360" w:lineRule="auto"/>
        <w:jc w:val="center"/>
        <w:outlineLvl w:val="2"/>
        <w:rPr>
          <w:rFonts w:hint="eastAsia" w:asciiTheme="minorEastAsia" w:hAnsiTheme="minorEastAsia" w:eastAsiaTheme="minorEastAsia" w:cstheme="minorEastAsia"/>
          <w:b/>
          <w:bCs/>
          <w:w w:val="99"/>
          <w:kern w:val="0"/>
          <w:sz w:val="28"/>
          <w:szCs w:val="28"/>
          <w:highlight w:val="none"/>
        </w:rPr>
      </w:pPr>
      <w:r>
        <w:rPr>
          <w:rFonts w:hint="eastAsia" w:asciiTheme="minorEastAsia" w:hAnsiTheme="minorEastAsia" w:eastAsiaTheme="minorEastAsia" w:cstheme="minorEastAsia"/>
          <w:b/>
          <w:bCs/>
          <w:w w:val="99"/>
          <w:kern w:val="0"/>
          <w:sz w:val="28"/>
          <w:szCs w:val="28"/>
          <w:highlight w:val="none"/>
        </w:rPr>
        <w:t>1、拟投入项目经理、项目总工任职承诺书</w:t>
      </w:r>
    </w:p>
    <w:p w14:paraId="3E7B0110">
      <w:pPr>
        <w:keepNext/>
        <w:keepLines/>
        <w:spacing w:line="360" w:lineRule="auto"/>
        <w:jc w:val="left"/>
        <w:outlineLvl w:val="2"/>
        <w:rPr>
          <w:kern w:val="0"/>
          <w:sz w:val="21"/>
          <w:szCs w:val="21"/>
          <w:highlight w:val="none"/>
        </w:rPr>
      </w:pPr>
      <w:r>
        <w:rPr>
          <w:rFonts w:hint="eastAsia"/>
          <w:kern w:val="0"/>
          <w:sz w:val="21"/>
          <w:szCs w:val="21"/>
          <w:highlight w:val="none"/>
        </w:rPr>
        <w:t>致：</w:t>
      </w:r>
      <w:r>
        <w:rPr>
          <w:rFonts w:hint="eastAsia"/>
          <w:kern w:val="0"/>
          <w:sz w:val="21"/>
          <w:szCs w:val="21"/>
          <w:highlight w:val="none"/>
          <w:u w:val="single"/>
        </w:rPr>
        <w:t>（招标人名称）</w:t>
      </w:r>
    </w:p>
    <w:p w14:paraId="799AA309">
      <w:pPr>
        <w:keepNext/>
        <w:keepLines/>
        <w:spacing w:line="360" w:lineRule="auto"/>
        <w:ind w:firstLine="420" w:firstLineChars="200"/>
        <w:jc w:val="left"/>
        <w:outlineLvl w:val="2"/>
        <w:rPr>
          <w:rFonts w:hint="eastAsia" w:ascii="宋体" w:hAnsi="宋体" w:cs="宋体"/>
          <w:kern w:val="0"/>
          <w:sz w:val="21"/>
          <w:szCs w:val="21"/>
          <w:highlight w:val="none"/>
        </w:rPr>
      </w:pPr>
      <w:r>
        <w:rPr>
          <w:rFonts w:hint="eastAsia" w:ascii="宋体" w:hAnsi="宋体" w:cs="宋体"/>
          <w:kern w:val="0"/>
          <w:sz w:val="21"/>
          <w:szCs w:val="21"/>
          <w:highlight w:val="none"/>
        </w:rPr>
        <w:t>我单位自愿参加</w:t>
      </w:r>
      <w:r>
        <w:rPr>
          <w:rFonts w:ascii="宋体" w:hAnsi="宋体" w:cs="宋体"/>
          <w:kern w:val="0"/>
          <w:sz w:val="21"/>
          <w:szCs w:val="21"/>
          <w:highlight w:val="none"/>
          <w:u w:val="single"/>
        </w:rPr>
        <w:t xml:space="preserve">                     项目</w:t>
      </w:r>
      <w:r>
        <w:rPr>
          <w:rFonts w:hint="eastAsia" w:ascii="宋体" w:hAnsi="宋体" w:cs="宋体"/>
          <w:kern w:val="0"/>
          <w:sz w:val="21"/>
          <w:szCs w:val="21"/>
          <w:highlight w:val="none"/>
        </w:rPr>
        <w:t>的投标活动，并郑重承诺：</w:t>
      </w:r>
    </w:p>
    <w:p w14:paraId="32736770">
      <w:pPr>
        <w:keepNext/>
        <w:keepLines/>
        <w:spacing w:line="360" w:lineRule="auto"/>
        <w:ind w:firstLine="420" w:firstLineChars="200"/>
        <w:jc w:val="left"/>
        <w:outlineLvl w:val="2"/>
        <w:rPr>
          <w:rFonts w:hint="eastAsia" w:ascii="宋体" w:hAnsi="宋体" w:cs="宋体"/>
          <w:kern w:val="0"/>
          <w:sz w:val="21"/>
          <w:szCs w:val="21"/>
          <w:highlight w:val="none"/>
        </w:rPr>
      </w:pPr>
      <w:r>
        <w:rPr>
          <w:rFonts w:hint="eastAsia" w:ascii="宋体" w:hAnsi="宋体" w:cs="宋体"/>
          <w:kern w:val="0"/>
          <w:sz w:val="21"/>
          <w:szCs w:val="21"/>
          <w:highlight w:val="none"/>
        </w:rPr>
        <w:t>本项目如中标，中标后拟投入本项目的项目经理、项目总工均能立即赴本项目任职，且不在本项目以外的项目兼任职务。</w:t>
      </w:r>
    </w:p>
    <w:p w14:paraId="4F9C665D">
      <w:pPr>
        <w:keepNext/>
        <w:keepLines/>
        <w:spacing w:line="360" w:lineRule="auto"/>
        <w:ind w:firstLine="420" w:firstLineChars="200"/>
        <w:jc w:val="left"/>
        <w:outlineLvl w:val="2"/>
        <w:rPr>
          <w:rFonts w:hint="eastAsia" w:ascii="宋体" w:hAnsi="宋体" w:cs="宋体"/>
          <w:kern w:val="0"/>
          <w:sz w:val="21"/>
          <w:szCs w:val="21"/>
          <w:highlight w:val="none"/>
        </w:rPr>
      </w:pPr>
      <w:r>
        <w:rPr>
          <w:rFonts w:hint="eastAsia" w:ascii="宋体" w:hAnsi="宋体" w:cs="宋体"/>
          <w:kern w:val="0"/>
          <w:sz w:val="21"/>
          <w:szCs w:val="21"/>
          <w:highlight w:val="none"/>
        </w:rPr>
        <w:t>我方如有违背承诺，愿意承担相关违约责任。</w:t>
      </w:r>
    </w:p>
    <w:p w14:paraId="52076E15">
      <w:pPr>
        <w:keepNext/>
        <w:keepLines/>
        <w:spacing w:line="360" w:lineRule="auto"/>
        <w:ind w:firstLine="414" w:firstLineChars="200"/>
        <w:jc w:val="left"/>
        <w:outlineLvl w:val="2"/>
        <w:rPr>
          <w:rFonts w:hint="eastAsia" w:ascii="宋体" w:hAnsi="宋体" w:cs="宋体"/>
          <w:w w:val="99"/>
          <w:kern w:val="0"/>
          <w:sz w:val="21"/>
          <w:szCs w:val="21"/>
          <w:highlight w:val="none"/>
        </w:rPr>
      </w:pPr>
    </w:p>
    <w:p w14:paraId="460778E4">
      <w:pPr>
        <w:keepNext/>
        <w:keepLines/>
        <w:spacing w:line="360" w:lineRule="auto"/>
        <w:ind w:firstLine="414" w:firstLineChars="200"/>
        <w:jc w:val="left"/>
        <w:outlineLvl w:val="2"/>
        <w:rPr>
          <w:rFonts w:hint="eastAsia" w:ascii="宋体" w:hAnsi="宋体" w:cs="宋体"/>
          <w:w w:val="99"/>
          <w:kern w:val="0"/>
          <w:sz w:val="21"/>
          <w:szCs w:val="21"/>
          <w:highlight w:val="none"/>
        </w:rPr>
      </w:pPr>
    </w:p>
    <w:p w14:paraId="448AF85C">
      <w:pPr>
        <w:topLinePunct/>
        <w:spacing w:line="360" w:lineRule="auto"/>
        <w:jc w:val="left"/>
        <w:rPr>
          <w:rFonts w:hint="eastAsia" w:ascii="宋体" w:hAnsi="宋体" w:cs="宋体"/>
          <w:sz w:val="21"/>
          <w:szCs w:val="21"/>
          <w:highlight w:val="none"/>
        </w:rPr>
      </w:pPr>
      <w:r>
        <w:rPr>
          <w:rFonts w:hint="eastAsia" w:ascii="宋体" w:hAnsi="宋体" w:cs="宋体"/>
          <w:sz w:val="21"/>
          <w:szCs w:val="21"/>
          <w:highlight w:val="none"/>
        </w:rPr>
        <w:t>投标人</w:t>
      </w:r>
      <w:r>
        <w:rPr>
          <w:rFonts w:ascii="宋体" w:hAnsi="宋体" w:cs="宋体"/>
          <w:sz w:val="21"/>
          <w:szCs w:val="21"/>
          <w:highlight w:val="none"/>
        </w:rPr>
        <w:t>(盖单位公章)：</w:t>
      </w:r>
    </w:p>
    <w:p w14:paraId="65917730">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法定代表人</w:t>
      </w:r>
      <w:r>
        <w:rPr>
          <w:rFonts w:ascii="宋体" w:hAnsi="宋体" w:cs="宋体"/>
          <w:sz w:val="21"/>
          <w:szCs w:val="21"/>
          <w:highlight w:val="none"/>
        </w:rPr>
        <w:t>(</w:t>
      </w:r>
      <w:r>
        <w:rPr>
          <w:rFonts w:hint="eastAsia" w:ascii="宋体" w:hAnsi="宋体" w:cs="宋体"/>
          <w:sz w:val="21"/>
          <w:szCs w:val="21"/>
          <w:highlight w:val="none"/>
        </w:rPr>
        <w:t>或其委托代理人</w:t>
      </w:r>
      <w:r>
        <w:rPr>
          <w:rFonts w:ascii="宋体" w:hAnsi="宋体" w:cs="宋体"/>
          <w:sz w:val="21"/>
          <w:szCs w:val="21"/>
          <w:highlight w:val="none"/>
        </w:rPr>
        <w:t>)</w:t>
      </w:r>
      <w:r>
        <w:rPr>
          <w:rFonts w:hint="eastAsia" w:ascii="宋体" w:hAnsi="宋体" w:cs="宋体"/>
          <w:sz w:val="21"/>
          <w:szCs w:val="21"/>
          <w:highlight w:val="none"/>
        </w:rPr>
        <w:t>（</w:t>
      </w:r>
      <w:r>
        <w:rPr>
          <w:rFonts w:hint="eastAsia" w:ascii="宋体" w:hAnsi="宋体" w:cs="宋体"/>
          <w:sz w:val="21"/>
          <w:szCs w:val="21"/>
          <w:highlight w:val="none"/>
          <w:u w:val="single"/>
        </w:rPr>
        <w:t>签字或盖章</w:t>
      </w:r>
      <w:r>
        <w:rPr>
          <w:rFonts w:hint="eastAsia" w:ascii="宋体" w:hAnsi="宋体" w:cs="宋体"/>
          <w:sz w:val="21"/>
          <w:szCs w:val="21"/>
          <w:highlight w:val="none"/>
        </w:rPr>
        <w:t>）：</w:t>
      </w:r>
    </w:p>
    <w:p w14:paraId="741C22DD">
      <w:pPr>
        <w:topLinePunct/>
        <w:spacing w:before="120" w:beforeLines="50" w:after="120" w:afterLines="50"/>
        <w:ind w:firstLine="840" w:firstLineChars="400"/>
        <w:jc w:val="left"/>
        <w:rPr>
          <w:rFonts w:eastAsia="黑体"/>
          <w:sz w:val="21"/>
          <w:szCs w:val="21"/>
          <w:highlight w:val="none"/>
        </w:rPr>
      </w:pPr>
      <w:r>
        <w:rPr>
          <w:rFonts w:hint="eastAsia" w:hAnsi="宋体" w:cs="宋体"/>
          <w:sz w:val="21"/>
          <w:szCs w:val="21"/>
          <w:highlight w:val="none"/>
        </w:rPr>
        <w:t>年月日</w:t>
      </w:r>
    </w:p>
    <w:p w14:paraId="6BDDD18D">
      <w:pPr>
        <w:rPr>
          <w:sz w:val="21"/>
          <w:szCs w:val="21"/>
          <w:highlight w:val="none"/>
        </w:rPr>
      </w:pPr>
    </w:p>
    <w:p w14:paraId="4B69D545">
      <w:pPr>
        <w:pStyle w:val="13"/>
        <w:snapToGrid w:val="0"/>
        <w:spacing w:line="360" w:lineRule="auto"/>
        <w:ind w:firstLine="843" w:firstLineChars="400"/>
        <w:rPr>
          <w:b/>
          <w:bCs/>
          <w:highlight w:val="none"/>
          <w:u w:val="single"/>
        </w:rPr>
      </w:pPr>
      <w:r>
        <w:rPr>
          <w:rFonts w:ascii="黑体" w:hAnsi="黑体" w:eastAsia="黑体"/>
          <w:b/>
          <w:bCs/>
          <w:highlight w:val="none"/>
        </w:rPr>
        <w:br w:type="page"/>
      </w:r>
    </w:p>
    <w:p w14:paraId="7B788EE7">
      <w:pPr>
        <w:keepNext/>
        <w:keepLines/>
        <w:snapToGrid w:val="0"/>
        <w:spacing w:line="360" w:lineRule="auto"/>
        <w:jc w:val="center"/>
        <w:outlineLvl w:val="2"/>
        <w:rPr>
          <w:b/>
          <w:bCs/>
          <w:w w:val="99"/>
          <w:kern w:val="0"/>
          <w:sz w:val="28"/>
          <w:szCs w:val="28"/>
          <w:highlight w:val="none"/>
        </w:rPr>
      </w:pPr>
      <w:r>
        <w:rPr>
          <w:rFonts w:hint="eastAsia"/>
          <w:b/>
          <w:bCs/>
          <w:w w:val="99"/>
          <w:kern w:val="0"/>
          <w:sz w:val="28"/>
          <w:szCs w:val="28"/>
          <w:highlight w:val="none"/>
        </w:rPr>
        <w:t>2、不拖欠民工工资的承诺书</w:t>
      </w:r>
    </w:p>
    <w:p w14:paraId="0EC2D34B">
      <w:pPr>
        <w:pStyle w:val="20"/>
        <w:rPr>
          <w:highlight w:val="none"/>
        </w:rPr>
      </w:pPr>
    </w:p>
    <w:p w14:paraId="4A883C37">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致：</w:t>
      </w:r>
      <w:r>
        <w:rPr>
          <w:rFonts w:hint="eastAsia" w:ascii="宋体" w:hAnsi="宋体" w:cs="宋体"/>
          <w:sz w:val="21"/>
          <w:szCs w:val="21"/>
          <w:highlight w:val="none"/>
          <w:u w:val="single"/>
        </w:rPr>
        <w:t>（招标人名称）</w:t>
      </w:r>
    </w:p>
    <w:p w14:paraId="001FA87E">
      <w:pPr>
        <w:spacing w:line="360" w:lineRule="auto"/>
        <w:ind w:firstLine="420" w:firstLineChars="200"/>
        <w:rPr>
          <w:rFonts w:ascii="宋体"/>
          <w:sz w:val="21"/>
          <w:szCs w:val="21"/>
          <w:highlight w:val="none"/>
        </w:rPr>
      </w:pPr>
      <w:r>
        <w:rPr>
          <w:rFonts w:hint="eastAsia" w:ascii="宋体" w:hAnsi="宋体" w:cs="宋体"/>
          <w:sz w:val="21"/>
          <w:szCs w:val="21"/>
          <w:highlight w:val="none"/>
        </w:rPr>
        <w:t>为保护民工的合法权益，不拖欠民工工资，本签名人以</w:t>
      </w:r>
      <w:r>
        <w:rPr>
          <w:rFonts w:hint="eastAsia" w:ascii="宋体" w:hAnsi="宋体" w:cs="宋体"/>
          <w:sz w:val="21"/>
          <w:szCs w:val="21"/>
          <w:highlight w:val="none"/>
          <w:u w:val="single"/>
        </w:rPr>
        <w:t>（投标人全称）</w:t>
      </w:r>
      <w:r>
        <w:rPr>
          <w:rFonts w:hint="eastAsia" w:ascii="宋体" w:hAnsi="宋体" w:cs="宋体"/>
          <w:sz w:val="21"/>
          <w:szCs w:val="21"/>
          <w:highlight w:val="none"/>
        </w:rPr>
        <w:t>法定代表人或其授权的代理人的资格，郑重承诺：</w:t>
      </w:r>
    </w:p>
    <w:p w14:paraId="78C0BAE0">
      <w:pPr>
        <w:spacing w:line="360" w:lineRule="auto"/>
        <w:ind w:firstLine="420" w:firstLineChars="200"/>
        <w:rPr>
          <w:rFonts w:ascii="宋体"/>
          <w:sz w:val="21"/>
          <w:szCs w:val="21"/>
          <w:highlight w:val="none"/>
        </w:rPr>
      </w:pPr>
      <w:r>
        <w:rPr>
          <w:rFonts w:hint="eastAsia" w:ascii="宋体" w:hAnsi="宋体" w:cs="宋体"/>
          <w:sz w:val="21"/>
          <w:szCs w:val="21"/>
          <w:highlight w:val="none"/>
        </w:rPr>
        <w:t>本企业如果中标承建</w:t>
      </w:r>
      <w:r>
        <w:rPr>
          <w:rFonts w:hint="eastAsia" w:ascii="宋体" w:hAnsi="宋体" w:cs="宋体"/>
          <w:sz w:val="21"/>
          <w:szCs w:val="21"/>
          <w:highlight w:val="none"/>
          <w:u w:val="single"/>
        </w:rPr>
        <w:t xml:space="preserve">       项目         标段</w:t>
      </w:r>
      <w:r>
        <w:rPr>
          <w:rFonts w:hint="eastAsia" w:ascii="宋体" w:hAnsi="宋体" w:cs="宋体"/>
          <w:sz w:val="21"/>
          <w:szCs w:val="21"/>
          <w:highlight w:val="none"/>
        </w:rPr>
        <w:t>工程，需要使用民工时，将保证做到：</w:t>
      </w:r>
    </w:p>
    <w:p w14:paraId="48D11867">
      <w:pPr>
        <w:spacing w:line="360" w:lineRule="auto"/>
        <w:ind w:firstLine="420" w:firstLineChars="200"/>
        <w:rPr>
          <w:rFonts w:ascii="宋体"/>
          <w:sz w:val="21"/>
          <w:szCs w:val="21"/>
          <w:highlight w:val="none"/>
        </w:rPr>
      </w:pPr>
      <w:r>
        <w:rPr>
          <w:rFonts w:ascii="宋体" w:hAnsi="宋体" w:cs="宋体"/>
          <w:sz w:val="21"/>
          <w:szCs w:val="21"/>
          <w:highlight w:val="none"/>
        </w:rPr>
        <w:t>1</w:t>
      </w:r>
      <w:r>
        <w:rPr>
          <w:rFonts w:hint="eastAsia" w:ascii="宋体" w:hAnsi="宋体" w:cs="宋体"/>
          <w:sz w:val="21"/>
          <w:szCs w:val="21"/>
          <w:highlight w:val="none"/>
        </w:rPr>
        <w:t>、按照《劳动法》规定雇佣和使用民工，工资将直接发放给民工本人，严禁发放给“包工头”。</w:t>
      </w:r>
    </w:p>
    <w:p w14:paraId="7ABB221E">
      <w:pPr>
        <w:numPr>
          <w:ilvl w:val="255"/>
          <w:numId w:val="0"/>
        </w:numPr>
        <w:spacing w:line="360" w:lineRule="auto"/>
        <w:ind w:firstLine="420" w:firstLineChars="200"/>
        <w:rPr>
          <w:rFonts w:ascii="宋体"/>
          <w:sz w:val="21"/>
          <w:szCs w:val="21"/>
          <w:highlight w:val="none"/>
        </w:rPr>
      </w:pPr>
      <w:r>
        <w:rPr>
          <w:rFonts w:ascii="宋体" w:hAnsi="宋体" w:cs="宋体"/>
          <w:sz w:val="21"/>
          <w:szCs w:val="21"/>
          <w:highlight w:val="none"/>
        </w:rPr>
        <w:t>2</w:t>
      </w:r>
      <w:r>
        <w:rPr>
          <w:rFonts w:hint="eastAsia" w:ascii="宋体" w:hAnsi="宋体" w:cs="宋体"/>
          <w:sz w:val="21"/>
          <w:szCs w:val="21"/>
          <w:highlight w:val="none"/>
        </w:rPr>
        <w:t>、我公司雇佣民工的，将按照第</w:t>
      </w:r>
      <w:r>
        <w:rPr>
          <w:rFonts w:ascii="宋体" w:hAnsi="宋体" w:cs="宋体"/>
          <w:sz w:val="21"/>
          <w:szCs w:val="21"/>
          <w:highlight w:val="none"/>
        </w:rPr>
        <w:t>1</w:t>
      </w:r>
      <w:r>
        <w:rPr>
          <w:rFonts w:hint="eastAsia" w:ascii="宋体" w:hAnsi="宋体" w:cs="宋体"/>
          <w:sz w:val="21"/>
          <w:szCs w:val="21"/>
          <w:highlight w:val="none"/>
        </w:rPr>
        <w:t>条规定签订劳动合同，并负责督促其按照合同规定及时结付民工工资。如因我公司未按合同约定与民工结清工程款，致使后者拖欠民工工资的，将由我公司先行垫付欠款。</w:t>
      </w:r>
    </w:p>
    <w:p w14:paraId="3F018D19">
      <w:pPr>
        <w:spacing w:line="360" w:lineRule="auto"/>
        <w:ind w:firstLine="420" w:firstLineChars="200"/>
        <w:rPr>
          <w:rFonts w:ascii="宋体"/>
          <w:sz w:val="21"/>
          <w:szCs w:val="21"/>
          <w:highlight w:val="none"/>
        </w:rPr>
      </w:pPr>
      <w:r>
        <w:rPr>
          <w:rFonts w:ascii="宋体" w:hAnsi="宋体" w:cs="宋体"/>
          <w:sz w:val="21"/>
          <w:szCs w:val="21"/>
          <w:highlight w:val="none"/>
        </w:rPr>
        <w:t>3</w:t>
      </w:r>
      <w:r>
        <w:rPr>
          <w:rFonts w:hint="eastAsia" w:ascii="宋体" w:hAnsi="宋体" w:cs="宋体"/>
          <w:sz w:val="21"/>
          <w:szCs w:val="21"/>
          <w:highlight w:val="none"/>
        </w:rPr>
        <w:t>、如果发生违反规定拖欠或克扣民工工资行为，造成民工上访，本公司愿意接受发包人依照有关规定作出的处罚。</w:t>
      </w:r>
    </w:p>
    <w:p w14:paraId="024E231D">
      <w:pPr>
        <w:spacing w:line="360" w:lineRule="auto"/>
        <w:ind w:firstLine="420" w:firstLineChars="200"/>
        <w:rPr>
          <w:rFonts w:hint="eastAsia" w:ascii="宋体" w:hAnsi="宋体" w:cs="宋体"/>
          <w:sz w:val="21"/>
          <w:szCs w:val="21"/>
          <w:highlight w:val="none"/>
        </w:rPr>
      </w:pPr>
      <w:r>
        <w:rPr>
          <w:rFonts w:ascii="宋体" w:hAnsi="宋体" w:cs="宋体"/>
          <w:sz w:val="21"/>
          <w:szCs w:val="21"/>
          <w:highlight w:val="none"/>
        </w:rPr>
        <w:t>4</w:t>
      </w:r>
      <w:r>
        <w:rPr>
          <w:rFonts w:hint="eastAsia" w:ascii="宋体" w:hAnsi="宋体" w:cs="宋体"/>
          <w:sz w:val="21"/>
          <w:szCs w:val="21"/>
          <w:highlight w:val="none"/>
        </w:rPr>
        <w:t>、本公司同意：在合同执行期间发包人可视我公司对民工工资支付情况，上报履约考核。</w:t>
      </w:r>
    </w:p>
    <w:p w14:paraId="36D12CF1">
      <w:pPr>
        <w:pStyle w:val="20"/>
        <w:rPr>
          <w:sz w:val="21"/>
          <w:szCs w:val="21"/>
          <w:highlight w:val="none"/>
        </w:rPr>
      </w:pPr>
    </w:p>
    <w:p w14:paraId="145B55E6">
      <w:pPr>
        <w:topLinePunct/>
        <w:spacing w:line="360" w:lineRule="auto"/>
        <w:jc w:val="left"/>
        <w:rPr>
          <w:rFonts w:hint="eastAsia" w:ascii="宋体" w:hAnsi="宋体" w:cs="宋体"/>
          <w:sz w:val="21"/>
          <w:szCs w:val="21"/>
          <w:highlight w:val="none"/>
        </w:rPr>
      </w:pPr>
      <w:r>
        <w:rPr>
          <w:rFonts w:hint="eastAsia" w:ascii="宋体" w:hAnsi="宋体" w:cs="宋体"/>
          <w:sz w:val="21"/>
          <w:szCs w:val="21"/>
          <w:highlight w:val="none"/>
        </w:rPr>
        <w:t>投标人(盖单位公章)：</w:t>
      </w:r>
    </w:p>
    <w:p w14:paraId="401C45AE">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法定代表人</w:t>
      </w:r>
      <w:r>
        <w:rPr>
          <w:rFonts w:ascii="宋体" w:hAnsi="宋体" w:cs="宋体"/>
          <w:sz w:val="21"/>
          <w:szCs w:val="21"/>
          <w:highlight w:val="none"/>
        </w:rPr>
        <w:t>(</w:t>
      </w:r>
      <w:r>
        <w:rPr>
          <w:rFonts w:hint="eastAsia" w:ascii="宋体" w:hAnsi="宋体" w:cs="宋体"/>
          <w:sz w:val="21"/>
          <w:szCs w:val="21"/>
          <w:highlight w:val="none"/>
        </w:rPr>
        <w:t>或其委托代理人</w:t>
      </w:r>
      <w:r>
        <w:rPr>
          <w:rFonts w:ascii="宋体" w:hAnsi="宋体" w:cs="宋体"/>
          <w:sz w:val="21"/>
          <w:szCs w:val="21"/>
          <w:highlight w:val="none"/>
        </w:rPr>
        <w:t>)</w:t>
      </w:r>
      <w:r>
        <w:rPr>
          <w:rFonts w:hint="eastAsia" w:ascii="宋体" w:hAnsi="宋体" w:cs="宋体"/>
          <w:sz w:val="21"/>
          <w:szCs w:val="21"/>
          <w:highlight w:val="none"/>
        </w:rPr>
        <w:t>（</w:t>
      </w:r>
      <w:r>
        <w:rPr>
          <w:rFonts w:hint="eastAsia" w:ascii="宋体" w:hAnsi="宋体" w:cs="宋体"/>
          <w:sz w:val="21"/>
          <w:szCs w:val="21"/>
          <w:highlight w:val="none"/>
          <w:u w:val="single"/>
        </w:rPr>
        <w:t>签字或盖章</w:t>
      </w:r>
      <w:r>
        <w:rPr>
          <w:rFonts w:hint="eastAsia" w:ascii="宋体" w:hAnsi="宋体" w:cs="宋体"/>
          <w:sz w:val="21"/>
          <w:szCs w:val="21"/>
          <w:highlight w:val="none"/>
        </w:rPr>
        <w:t>）：</w:t>
      </w:r>
    </w:p>
    <w:p w14:paraId="492FA2A0">
      <w:pPr>
        <w:spacing w:line="360" w:lineRule="auto"/>
        <w:ind w:firstLine="840" w:firstLineChars="400"/>
        <w:rPr>
          <w:rFonts w:hint="eastAsia" w:ascii="宋体" w:hAnsi="宋体" w:cs="宋体"/>
          <w:sz w:val="21"/>
          <w:szCs w:val="21"/>
          <w:highlight w:val="none"/>
        </w:rPr>
      </w:pPr>
      <w:r>
        <w:rPr>
          <w:rFonts w:hint="eastAsia" w:ascii="宋体" w:hAnsi="宋体" w:cs="宋体"/>
          <w:sz w:val="21"/>
          <w:szCs w:val="21"/>
          <w:highlight w:val="none"/>
        </w:rPr>
        <w:t>年   月   日</w:t>
      </w:r>
    </w:p>
    <w:p w14:paraId="6D675FFD">
      <w:pPr>
        <w:rPr>
          <w:rFonts w:hint="eastAsia" w:ascii="宋体" w:hAnsi="宋体" w:cs="宋体"/>
          <w:sz w:val="24"/>
          <w:szCs w:val="24"/>
          <w:highlight w:val="none"/>
        </w:rPr>
      </w:pPr>
      <w:r>
        <w:rPr>
          <w:rFonts w:hint="eastAsia" w:ascii="宋体" w:hAnsi="宋体" w:cs="宋体"/>
          <w:sz w:val="24"/>
          <w:szCs w:val="24"/>
          <w:highlight w:val="none"/>
        </w:rPr>
        <w:br w:type="page"/>
      </w:r>
    </w:p>
    <w:p w14:paraId="746296AE">
      <w:pPr>
        <w:keepNext/>
        <w:keepLines/>
        <w:snapToGrid w:val="0"/>
        <w:spacing w:line="360" w:lineRule="auto"/>
        <w:jc w:val="center"/>
        <w:outlineLvl w:val="2"/>
        <w:rPr>
          <w:b/>
          <w:bCs/>
          <w:w w:val="99"/>
          <w:kern w:val="0"/>
          <w:sz w:val="28"/>
          <w:szCs w:val="28"/>
          <w:highlight w:val="none"/>
        </w:rPr>
      </w:pPr>
      <w:r>
        <w:rPr>
          <w:rFonts w:hint="eastAsia"/>
          <w:b/>
          <w:bCs/>
          <w:w w:val="99"/>
          <w:kern w:val="0"/>
          <w:sz w:val="28"/>
          <w:szCs w:val="28"/>
          <w:highlight w:val="none"/>
        </w:rPr>
        <w:t>3、同意代偿债务承诺函</w:t>
      </w:r>
    </w:p>
    <w:p w14:paraId="2145A1C5">
      <w:pPr>
        <w:keepNext/>
        <w:keepLines/>
        <w:snapToGrid w:val="0"/>
        <w:spacing w:line="360" w:lineRule="auto"/>
        <w:jc w:val="center"/>
        <w:outlineLvl w:val="2"/>
        <w:rPr>
          <w:b/>
          <w:bCs/>
          <w:w w:val="99"/>
          <w:kern w:val="0"/>
          <w:sz w:val="24"/>
          <w:szCs w:val="24"/>
          <w:highlight w:val="none"/>
        </w:rPr>
      </w:pPr>
    </w:p>
    <w:p w14:paraId="2A910442">
      <w:pPr>
        <w:spacing w:line="360" w:lineRule="auto"/>
        <w:rPr>
          <w:rFonts w:ascii="宋体"/>
          <w:b/>
          <w:bCs/>
          <w:sz w:val="21"/>
          <w:szCs w:val="21"/>
          <w:highlight w:val="none"/>
          <w:u w:val="single"/>
        </w:rPr>
      </w:pPr>
      <w:r>
        <w:rPr>
          <w:rFonts w:hint="eastAsia" w:ascii="宋体" w:hAnsi="宋体" w:cs="宋体"/>
          <w:sz w:val="21"/>
          <w:szCs w:val="21"/>
          <w:highlight w:val="none"/>
        </w:rPr>
        <w:t>致：</w:t>
      </w:r>
      <w:r>
        <w:rPr>
          <w:rFonts w:hint="eastAsia" w:ascii="宋体" w:hAnsi="宋体"/>
          <w:spacing w:val="-5"/>
          <w:sz w:val="21"/>
          <w:szCs w:val="21"/>
          <w:highlight w:val="none"/>
          <w:u w:val="single"/>
        </w:rPr>
        <w:t xml:space="preserve">（招标人名称）  </w:t>
      </w:r>
    </w:p>
    <w:p w14:paraId="3CE2C675">
      <w:pPr>
        <w:autoSpaceDE w:val="0"/>
        <w:autoSpaceDN w:val="0"/>
        <w:spacing w:line="360" w:lineRule="auto"/>
        <w:ind w:firstLine="480"/>
        <w:jc w:val="left"/>
        <w:rPr>
          <w:kern w:val="0"/>
          <w:sz w:val="21"/>
          <w:szCs w:val="21"/>
          <w:highlight w:val="none"/>
        </w:rPr>
      </w:pPr>
      <w:r>
        <w:rPr>
          <w:kern w:val="0"/>
          <w:sz w:val="21"/>
          <w:szCs w:val="21"/>
          <w:highlight w:val="none"/>
        </w:rPr>
        <w:t>我方参加了</w:t>
      </w:r>
      <w:r>
        <w:rPr>
          <w:rFonts w:hint="eastAsia"/>
          <w:kern w:val="0"/>
          <w:sz w:val="21"/>
          <w:szCs w:val="21"/>
          <w:highlight w:val="none"/>
          <w:u w:val="single"/>
        </w:rPr>
        <w:t xml:space="preserve">        </w:t>
      </w:r>
      <w:r>
        <w:rPr>
          <w:kern w:val="0"/>
          <w:sz w:val="21"/>
          <w:szCs w:val="21"/>
          <w:highlight w:val="none"/>
        </w:rPr>
        <w:t>项目</w:t>
      </w:r>
      <w:r>
        <w:rPr>
          <w:kern w:val="0"/>
          <w:sz w:val="21"/>
          <w:szCs w:val="21"/>
          <w:highlight w:val="none"/>
          <w:u w:val="single"/>
        </w:rPr>
        <w:t xml:space="preserve">        </w:t>
      </w:r>
      <w:r>
        <w:rPr>
          <w:kern w:val="0"/>
          <w:sz w:val="21"/>
          <w:szCs w:val="21"/>
          <w:highlight w:val="none"/>
        </w:rPr>
        <w:t>标段施工投标，若我方中标，我方在此承诺：</w:t>
      </w:r>
    </w:p>
    <w:p w14:paraId="284EF2D9">
      <w:pPr>
        <w:autoSpaceDE w:val="0"/>
        <w:autoSpaceDN w:val="0"/>
        <w:spacing w:line="360" w:lineRule="auto"/>
        <w:ind w:firstLine="480"/>
        <w:jc w:val="left"/>
        <w:rPr>
          <w:kern w:val="0"/>
          <w:sz w:val="21"/>
          <w:szCs w:val="21"/>
          <w:highlight w:val="none"/>
        </w:rPr>
      </w:pPr>
      <w:r>
        <w:rPr>
          <w:kern w:val="0"/>
          <w:sz w:val="21"/>
          <w:szCs w:val="21"/>
          <w:highlight w:val="none"/>
        </w:rPr>
        <w:t>我方对我方的分包人和劳务分包人因实施本合同工程而产生的债务偿还承担连带责任，此类债务包括拖欠的人工工资、材料款、设备租赁款。我方负责督促、协调分包人和劳务分包人及时偿还债务。</w:t>
      </w:r>
    </w:p>
    <w:p w14:paraId="039DC8AA">
      <w:pPr>
        <w:autoSpaceDE w:val="0"/>
        <w:autoSpaceDN w:val="0"/>
        <w:spacing w:line="360" w:lineRule="auto"/>
        <w:ind w:firstLine="480"/>
        <w:jc w:val="left"/>
        <w:rPr>
          <w:kern w:val="0"/>
          <w:sz w:val="21"/>
          <w:szCs w:val="21"/>
          <w:highlight w:val="none"/>
        </w:rPr>
      </w:pPr>
      <w:r>
        <w:rPr>
          <w:kern w:val="0"/>
          <w:sz w:val="21"/>
          <w:szCs w:val="21"/>
          <w:highlight w:val="none"/>
        </w:rPr>
        <w:t>若由于上述债务纠纷引发上访事件，我方接到</w:t>
      </w:r>
      <w:r>
        <w:rPr>
          <w:rFonts w:hint="eastAsia"/>
          <w:kern w:val="0"/>
          <w:sz w:val="21"/>
          <w:szCs w:val="21"/>
          <w:highlight w:val="none"/>
        </w:rPr>
        <w:t>发包人</w:t>
      </w:r>
      <w:r>
        <w:rPr>
          <w:kern w:val="0"/>
          <w:sz w:val="21"/>
          <w:szCs w:val="21"/>
          <w:highlight w:val="none"/>
        </w:rPr>
        <w:t>通知后将立即派代表协调解决。在债务事实清楚而未能妥善解决的情况下，贵方有权直接在贵方负责建设管理的任何工程项目中属于我方的未付合同款中代为偿付有关债务款项。同时，我方承认贵方因此降低我方履约考核等级的结果。</w:t>
      </w:r>
    </w:p>
    <w:p w14:paraId="59E42160">
      <w:pPr>
        <w:autoSpaceDE w:val="0"/>
        <w:autoSpaceDN w:val="0"/>
        <w:spacing w:line="360" w:lineRule="auto"/>
        <w:ind w:firstLine="480"/>
        <w:jc w:val="left"/>
        <w:rPr>
          <w:kern w:val="0"/>
          <w:sz w:val="21"/>
          <w:szCs w:val="21"/>
          <w:highlight w:val="none"/>
        </w:rPr>
      </w:pPr>
    </w:p>
    <w:p w14:paraId="7D32FD13">
      <w:pPr>
        <w:autoSpaceDE w:val="0"/>
        <w:autoSpaceDN w:val="0"/>
        <w:spacing w:line="360" w:lineRule="auto"/>
        <w:ind w:firstLine="480"/>
        <w:jc w:val="left"/>
        <w:rPr>
          <w:kern w:val="0"/>
          <w:sz w:val="21"/>
          <w:szCs w:val="21"/>
          <w:highlight w:val="none"/>
        </w:rPr>
      </w:pPr>
    </w:p>
    <w:p w14:paraId="613A6361">
      <w:pPr>
        <w:autoSpaceDE w:val="0"/>
        <w:autoSpaceDN w:val="0"/>
        <w:spacing w:line="360" w:lineRule="auto"/>
        <w:ind w:firstLine="480"/>
        <w:jc w:val="left"/>
        <w:rPr>
          <w:kern w:val="0"/>
          <w:sz w:val="21"/>
          <w:szCs w:val="21"/>
          <w:highlight w:val="none"/>
        </w:rPr>
      </w:pPr>
    </w:p>
    <w:p w14:paraId="342BFCA8">
      <w:pPr>
        <w:topLinePunct/>
        <w:spacing w:line="360" w:lineRule="auto"/>
        <w:jc w:val="left"/>
        <w:rPr>
          <w:rFonts w:hint="eastAsia" w:ascii="宋体" w:hAnsi="宋体" w:cs="宋体"/>
          <w:sz w:val="21"/>
          <w:szCs w:val="21"/>
          <w:highlight w:val="none"/>
        </w:rPr>
      </w:pPr>
      <w:r>
        <w:rPr>
          <w:rFonts w:hint="eastAsia" w:ascii="宋体" w:hAnsi="宋体" w:cs="宋体"/>
          <w:sz w:val="21"/>
          <w:szCs w:val="21"/>
          <w:highlight w:val="none"/>
        </w:rPr>
        <w:t>投标人(盖单位公章)：</w:t>
      </w:r>
    </w:p>
    <w:p w14:paraId="6B0DA229">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法定代表人</w:t>
      </w:r>
      <w:r>
        <w:rPr>
          <w:rFonts w:ascii="宋体" w:hAnsi="宋体" w:cs="宋体"/>
          <w:sz w:val="21"/>
          <w:szCs w:val="21"/>
          <w:highlight w:val="none"/>
        </w:rPr>
        <w:t>(</w:t>
      </w:r>
      <w:r>
        <w:rPr>
          <w:rFonts w:hint="eastAsia" w:ascii="宋体" w:hAnsi="宋体" w:cs="宋体"/>
          <w:sz w:val="21"/>
          <w:szCs w:val="21"/>
          <w:highlight w:val="none"/>
        </w:rPr>
        <w:t>或其委托代理人</w:t>
      </w:r>
      <w:r>
        <w:rPr>
          <w:rFonts w:ascii="宋体" w:hAnsi="宋体" w:cs="宋体"/>
          <w:sz w:val="21"/>
          <w:szCs w:val="21"/>
          <w:highlight w:val="none"/>
        </w:rPr>
        <w:t>)</w:t>
      </w:r>
      <w:r>
        <w:rPr>
          <w:rFonts w:hint="eastAsia" w:ascii="宋体" w:hAnsi="宋体" w:cs="宋体"/>
          <w:sz w:val="21"/>
          <w:szCs w:val="21"/>
          <w:highlight w:val="none"/>
        </w:rPr>
        <w:t>（</w:t>
      </w:r>
      <w:r>
        <w:rPr>
          <w:rFonts w:hint="eastAsia" w:ascii="宋体" w:hAnsi="宋体" w:cs="宋体"/>
          <w:sz w:val="21"/>
          <w:szCs w:val="21"/>
          <w:highlight w:val="none"/>
          <w:u w:val="single"/>
        </w:rPr>
        <w:t>签字或盖章</w:t>
      </w:r>
      <w:r>
        <w:rPr>
          <w:rFonts w:hint="eastAsia" w:ascii="宋体" w:hAnsi="宋体" w:cs="宋体"/>
          <w:sz w:val="21"/>
          <w:szCs w:val="21"/>
          <w:highlight w:val="none"/>
        </w:rPr>
        <w:t>）：</w:t>
      </w:r>
    </w:p>
    <w:p w14:paraId="43A7C58A">
      <w:pPr>
        <w:spacing w:line="360" w:lineRule="auto"/>
        <w:ind w:firstLine="840" w:firstLineChars="400"/>
        <w:rPr>
          <w:rFonts w:hint="eastAsia" w:ascii="宋体" w:hAnsi="宋体" w:cs="宋体"/>
          <w:sz w:val="21"/>
          <w:szCs w:val="21"/>
          <w:highlight w:val="none"/>
        </w:rPr>
      </w:pPr>
      <w:r>
        <w:rPr>
          <w:rFonts w:hint="eastAsia" w:ascii="宋体" w:hAnsi="宋体" w:cs="宋体"/>
          <w:sz w:val="21"/>
          <w:szCs w:val="21"/>
          <w:highlight w:val="none"/>
        </w:rPr>
        <w:t>年   月   日</w:t>
      </w:r>
    </w:p>
    <w:p w14:paraId="4264770F">
      <w:pPr>
        <w:jc w:val="center"/>
        <w:outlineLvl w:val="2"/>
        <w:rPr>
          <w:rFonts w:hint="eastAsia" w:ascii="宋体" w:hAnsi="宋体" w:cs="宋体"/>
          <w:b/>
          <w:bCs/>
          <w:sz w:val="30"/>
          <w:szCs w:val="30"/>
          <w:highlight w:val="none"/>
        </w:rPr>
      </w:pPr>
    </w:p>
    <w:p w14:paraId="46365535">
      <w:pPr>
        <w:jc w:val="center"/>
        <w:outlineLvl w:val="2"/>
        <w:rPr>
          <w:rFonts w:hint="eastAsia" w:ascii="宋体" w:hAnsi="宋体" w:cs="宋体"/>
          <w:b/>
          <w:bCs/>
          <w:sz w:val="30"/>
          <w:szCs w:val="30"/>
          <w:highlight w:val="none"/>
        </w:rPr>
      </w:pPr>
    </w:p>
    <w:p w14:paraId="7537F51E">
      <w:pPr>
        <w:pStyle w:val="20"/>
        <w:rPr>
          <w:highlight w:val="none"/>
        </w:rPr>
      </w:pPr>
    </w:p>
    <w:p w14:paraId="03B5A26A">
      <w:pPr>
        <w:rPr>
          <w:rFonts w:eastAsia="黑体" w:cs="黑体"/>
          <w:sz w:val="36"/>
          <w:szCs w:val="36"/>
          <w:highlight w:val="none"/>
        </w:rPr>
      </w:pPr>
      <w:r>
        <w:rPr>
          <w:rFonts w:hint="eastAsia" w:eastAsia="黑体" w:cs="黑体"/>
          <w:sz w:val="36"/>
          <w:szCs w:val="36"/>
          <w:highlight w:val="none"/>
        </w:rPr>
        <w:br w:type="page"/>
      </w:r>
    </w:p>
    <w:p w14:paraId="0C705391">
      <w:pPr>
        <w:keepNext/>
        <w:keepLines/>
        <w:snapToGrid w:val="0"/>
        <w:spacing w:line="360" w:lineRule="auto"/>
        <w:jc w:val="center"/>
        <w:outlineLvl w:val="2"/>
        <w:rPr>
          <w:rFonts w:hint="default" w:eastAsia="宋体"/>
          <w:b/>
          <w:bCs/>
          <w:w w:val="99"/>
          <w:kern w:val="0"/>
          <w:sz w:val="28"/>
          <w:szCs w:val="28"/>
          <w:highlight w:val="none"/>
          <w:lang w:val="en-US" w:eastAsia="zh-CN"/>
        </w:rPr>
      </w:pPr>
      <w:r>
        <w:rPr>
          <w:rFonts w:hint="eastAsia" w:eastAsia="宋体"/>
          <w:b/>
          <w:bCs/>
          <w:w w:val="99"/>
          <w:kern w:val="0"/>
          <w:sz w:val="28"/>
          <w:szCs w:val="28"/>
          <w:highlight w:val="none"/>
        </w:rPr>
        <w:t>4、</w:t>
      </w:r>
      <w:r>
        <w:rPr>
          <w:rFonts w:hint="eastAsia" w:eastAsia="宋体"/>
          <w:b/>
          <w:bCs/>
          <w:w w:val="99"/>
          <w:kern w:val="0"/>
          <w:sz w:val="28"/>
          <w:szCs w:val="28"/>
          <w:highlight w:val="none"/>
          <w:lang w:val="en-US" w:eastAsia="zh-CN"/>
        </w:rPr>
        <w:t>材料真实性承诺</w:t>
      </w:r>
    </w:p>
    <w:p w14:paraId="428C7404">
      <w:pPr>
        <w:spacing w:line="360" w:lineRule="auto"/>
        <w:rPr>
          <w:rFonts w:ascii="宋体" w:hAnsi="宋体"/>
          <w:color w:val="000000"/>
          <w:sz w:val="21"/>
          <w:szCs w:val="21"/>
          <w:highlight w:val="none"/>
          <w:u w:val="single"/>
        </w:rPr>
      </w:pPr>
      <w:r>
        <w:rPr>
          <w:rFonts w:hint="eastAsia" w:ascii="Arial Narrow" w:hAnsi="Arial Narrow"/>
          <w:color w:val="000000"/>
          <w:sz w:val="21"/>
          <w:szCs w:val="21"/>
          <w:highlight w:val="none"/>
        </w:rPr>
        <w:t>致：</w:t>
      </w:r>
      <w:r>
        <w:rPr>
          <w:rFonts w:hint="eastAsia" w:ascii="宋体" w:hAnsi="宋体" w:cs="宋体"/>
          <w:color w:val="000000"/>
          <w:sz w:val="21"/>
          <w:szCs w:val="21"/>
          <w:highlight w:val="none"/>
          <w:u w:val="single"/>
        </w:rPr>
        <w:t>南通市港航事业发展中心</w:t>
      </w:r>
    </w:p>
    <w:p w14:paraId="70C2AA8A">
      <w:pPr>
        <w:spacing w:line="360" w:lineRule="auto"/>
        <w:ind w:firstLine="420" w:firstLineChars="200"/>
        <w:rPr>
          <w:rFonts w:ascii="宋体" w:hAnsi="宋体"/>
          <w:color w:val="000000"/>
          <w:sz w:val="21"/>
          <w:szCs w:val="21"/>
          <w:highlight w:val="none"/>
        </w:rPr>
      </w:pPr>
    </w:p>
    <w:p w14:paraId="32B53065">
      <w:pPr>
        <w:spacing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本人郑重承诺：</w:t>
      </w:r>
    </w:p>
    <w:p w14:paraId="1B9DDC1A">
      <w:pPr>
        <w:spacing w:line="360" w:lineRule="auto"/>
        <w:ind w:firstLine="315" w:firstLineChars="150"/>
        <w:rPr>
          <w:rFonts w:ascii="宋体" w:hAnsi="宋体"/>
          <w:color w:val="000000"/>
          <w:sz w:val="21"/>
          <w:szCs w:val="21"/>
          <w:highlight w:val="none"/>
        </w:rPr>
      </w:pPr>
    </w:p>
    <w:p w14:paraId="04EF9C78">
      <w:pPr>
        <w:spacing w:line="360" w:lineRule="auto"/>
        <w:ind w:firstLine="315" w:firstLineChars="150"/>
        <w:rPr>
          <w:rFonts w:ascii="宋体" w:hAnsi="宋体"/>
          <w:color w:val="000000"/>
          <w:sz w:val="21"/>
          <w:szCs w:val="21"/>
          <w:highlight w:val="none"/>
        </w:rPr>
      </w:pPr>
      <w:r>
        <w:rPr>
          <w:rFonts w:hint="eastAsia" w:ascii="宋体" w:hAnsi="宋体"/>
          <w:color w:val="000000"/>
          <w:sz w:val="21"/>
          <w:szCs w:val="21"/>
          <w:highlight w:val="none"/>
        </w:rPr>
        <w:t>本企业此次参加</w:t>
      </w:r>
      <w:r>
        <w:rPr>
          <w:rFonts w:ascii="宋体" w:hAnsi="宋体"/>
          <w:b/>
          <w:color w:val="000000"/>
          <w:sz w:val="21"/>
          <w:szCs w:val="21"/>
          <w:highlight w:val="none"/>
          <w:u w:val="single"/>
        </w:rPr>
        <w:t xml:space="preserve">               </w:t>
      </w:r>
      <w:r>
        <w:rPr>
          <w:rFonts w:hint="eastAsia" w:ascii="宋体" w:hAnsi="宋体"/>
          <w:color w:val="000000"/>
          <w:sz w:val="21"/>
          <w:szCs w:val="21"/>
          <w:highlight w:val="none"/>
        </w:rPr>
        <w:t>投标所提交的所有资料都是真实的。如有虚假，本企业愿意接受招标人作出的取消投标、中标资格的决定，同时愿意接受相关行政主管部门依法作出的其它处罚诀定。</w:t>
      </w:r>
    </w:p>
    <w:p w14:paraId="5E5067C4">
      <w:pPr>
        <w:spacing w:line="360" w:lineRule="auto"/>
        <w:jc w:val="center"/>
        <w:rPr>
          <w:rFonts w:ascii="宋体" w:hAnsi="宋体"/>
          <w:color w:val="000000"/>
          <w:sz w:val="21"/>
          <w:szCs w:val="21"/>
          <w:highlight w:val="none"/>
        </w:rPr>
      </w:pPr>
    </w:p>
    <w:p w14:paraId="76252CFB">
      <w:pPr>
        <w:spacing w:line="360" w:lineRule="auto"/>
        <w:rPr>
          <w:rFonts w:ascii="宋体" w:hAnsi="宋体"/>
          <w:color w:val="000000"/>
          <w:sz w:val="21"/>
          <w:szCs w:val="21"/>
          <w:highlight w:val="none"/>
        </w:rPr>
      </w:pPr>
    </w:p>
    <w:p w14:paraId="18C1C509">
      <w:pPr>
        <w:spacing w:line="360" w:lineRule="auto"/>
        <w:rPr>
          <w:rFonts w:ascii="宋体" w:hAnsi="宋体"/>
          <w:color w:val="000000"/>
          <w:sz w:val="21"/>
          <w:szCs w:val="21"/>
          <w:highlight w:val="none"/>
        </w:rPr>
      </w:pPr>
    </w:p>
    <w:p w14:paraId="1F27E215">
      <w:pPr>
        <w:spacing w:line="360" w:lineRule="auto"/>
        <w:rPr>
          <w:rFonts w:ascii="宋体" w:hAnsi="宋体"/>
          <w:color w:val="000000"/>
          <w:sz w:val="21"/>
          <w:szCs w:val="21"/>
          <w:highlight w:val="none"/>
        </w:rPr>
      </w:pPr>
    </w:p>
    <w:p w14:paraId="45A1AF65">
      <w:pPr>
        <w:spacing w:line="360" w:lineRule="auto"/>
        <w:rPr>
          <w:rFonts w:ascii="宋体" w:hAnsi="宋体"/>
          <w:color w:val="000000"/>
          <w:sz w:val="21"/>
          <w:szCs w:val="21"/>
          <w:highlight w:val="none"/>
        </w:rPr>
      </w:pPr>
    </w:p>
    <w:p w14:paraId="13152914">
      <w:pPr>
        <w:snapToGrid w:val="0"/>
        <w:spacing w:line="360" w:lineRule="auto"/>
        <w:ind w:firstLine="3794" w:firstLineChars="1807"/>
        <w:rPr>
          <w:rFonts w:ascii="宋体"/>
          <w:color w:val="000000"/>
          <w:sz w:val="21"/>
          <w:szCs w:val="21"/>
          <w:highlight w:val="none"/>
        </w:rPr>
      </w:pPr>
      <w:r>
        <w:rPr>
          <w:rFonts w:hint="eastAsia" w:ascii="宋体" w:hAnsi="宋体" w:cs="宋体"/>
          <w:color w:val="000000"/>
          <w:sz w:val="21"/>
          <w:szCs w:val="21"/>
          <w:highlight w:val="none"/>
        </w:rPr>
        <w:t>承诺人：</w:t>
      </w:r>
      <w:r>
        <w:rPr>
          <w:rFonts w:ascii="宋体" w:hAnsi="宋体" w:cs="宋体"/>
          <w:color w:val="000000"/>
          <w:sz w:val="21"/>
          <w:szCs w:val="21"/>
          <w:highlight w:val="none"/>
          <w:u w:val="single"/>
        </w:rPr>
        <w:t xml:space="preserve">         </w:t>
      </w:r>
      <w:r>
        <w:rPr>
          <w:rFonts w:hint="eastAsia" w:ascii="宋体" w:hAnsi="宋体" w:cs="宋体"/>
          <w:color w:val="000000"/>
          <w:sz w:val="21"/>
          <w:szCs w:val="21"/>
          <w:highlight w:val="none"/>
          <w:u w:val="single"/>
        </w:rPr>
        <w:t>（盖单位公章）</w:t>
      </w:r>
      <w:r>
        <w:rPr>
          <w:rFonts w:ascii="宋体" w:hAnsi="宋体" w:cs="宋体"/>
          <w:color w:val="000000"/>
          <w:sz w:val="21"/>
          <w:szCs w:val="21"/>
          <w:highlight w:val="none"/>
          <w:u w:val="single"/>
        </w:rPr>
        <w:t xml:space="preserve">    </w:t>
      </w:r>
    </w:p>
    <w:p w14:paraId="1ED80CCB">
      <w:pPr>
        <w:snapToGrid w:val="0"/>
        <w:spacing w:line="360" w:lineRule="auto"/>
        <w:ind w:firstLine="3794" w:firstLineChars="1807"/>
        <w:rPr>
          <w:rFonts w:ascii="宋体"/>
          <w:color w:val="000000"/>
          <w:sz w:val="21"/>
          <w:szCs w:val="21"/>
          <w:highlight w:val="none"/>
        </w:rPr>
      </w:pPr>
      <w:r>
        <w:rPr>
          <w:rFonts w:hint="eastAsia" w:ascii="宋体" w:hAnsi="宋体" w:cs="宋体"/>
          <w:color w:val="000000"/>
          <w:sz w:val="21"/>
          <w:szCs w:val="21"/>
          <w:highlight w:val="none"/>
        </w:rPr>
        <w:t>承诺人法定代表人：</w:t>
      </w:r>
      <w:r>
        <w:rPr>
          <w:rFonts w:hint="eastAsia" w:ascii="Arial" w:hAnsi="Arial" w:cs="宋体"/>
          <w:color w:val="000000"/>
          <w:sz w:val="21"/>
          <w:szCs w:val="21"/>
          <w:highlight w:val="none"/>
          <w:u w:val="single"/>
        </w:rPr>
        <w:t>（亲笔签名或使用印章）</w:t>
      </w:r>
      <w:r>
        <w:rPr>
          <w:rFonts w:ascii="宋体" w:hAnsi="宋体" w:cs="宋体"/>
          <w:color w:val="000000"/>
          <w:sz w:val="21"/>
          <w:szCs w:val="21"/>
          <w:highlight w:val="none"/>
          <w:u w:val="single"/>
        </w:rPr>
        <w:t xml:space="preserve">  </w:t>
      </w:r>
    </w:p>
    <w:p w14:paraId="2740B971">
      <w:pPr>
        <w:spacing w:line="440" w:lineRule="exact"/>
        <w:jc w:val="right"/>
        <w:rPr>
          <w:rFonts w:ascii="宋体" w:hAnsi="宋体"/>
          <w:color w:val="000000"/>
          <w:sz w:val="21"/>
          <w:szCs w:val="21"/>
          <w:highlight w:val="none"/>
        </w:rPr>
      </w:pPr>
      <w:r>
        <w:rPr>
          <w:rFonts w:hint="eastAsia" w:ascii="宋体" w:hAnsi="宋体"/>
          <w:color w:val="000000"/>
          <w:sz w:val="21"/>
          <w:szCs w:val="21"/>
          <w:highlight w:val="none"/>
        </w:rPr>
        <w:t>日期：</w:t>
      </w:r>
      <w:r>
        <w:rPr>
          <w:rFonts w:ascii="宋体" w:hAnsi="宋体"/>
          <w:color w:val="000000"/>
          <w:sz w:val="21"/>
          <w:szCs w:val="21"/>
          <w:highlight w:val="none"/>
        </w:rPr>
        <w:t xml:space="preserve"> </w:t>
      </w:r>
      <w:r>
        <w:rPr>
          <w:rFonts w:ascii="宋体" w:hAnsi="宋体"/>
          <w:color w:val="000000"/>
          <w:sz w:val="21"/>
          <w:szCs w:val="21"/>
          <w:highlight w:val="none"/>
          <w:u w:val="single"/>
        </w:rPr>
        <w:t xml:space="preserve">    </w:t>
      </w:r>
      <w:r>
        <w:rPr>
          <w:rFonts w:hint="eastAsia" w:ascii="宋体" w:hAnsi="宋体"/>
          <w:color w:val="000000"/>
          <w:sz w:val="21"/>
          <w:szCs w:val="21"/>
          <w:highlight w:val="none"/>
        </w:rPr>
        <w:t>年</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rPr>
        <w:t>月</w:t>
      </w:r>
      <w:r>
        <w:rPr>
          <w:rFonts w:hint="eastAsia" w:ascii="宋体" w:hAnsi="宋体"/>
          <w:color w:val="000000"/>
          <w:sz w:val="21"/>
          <w:szCs w:val="21"/>
          <w:highlight w:val="none"/>
          <w:u w:val="single"/>
        </w:rPr>
        <w:t xml:space="preserve">    </w:t>
      </w:r>
      <w:r>
        <w:rPr>
          <w:rFonts w:ascii="宋体" w:hAnsi="宋体"/>
          <w:color w:val="000000"/>
          <w:sz w:val="21"/>
          <w:szCs w:val="21"/>
          <w:highlight w:val="none"/>
        </w:rPr>
        <w:t>日</w:t>
      </w:r>
    </w:p>
    <w:p w14:paraId="78327D81">
      <w:pPr>
        <w:spacing w:line="360" w:lineRule="auto"/>
        <w:jc w:val="left"/>
        <w:rPr>
          <w:rFonts w:eastAsia="黑体" w:cs="黑体"/>
          <w:sz w:val="21"/>
          <w:szCs w:val="21"/>
          <w:highlight w:val="none"/>
        </w:rPr>
      </w:pPr>
    </w:p>
    <w:p w14:paraId="6A591BCD">
      <w:pPr>
        <w:spacing w:line="300" w:lineRule="exact"/>
        <w:rPr>
          <w:rFonts w:hint="eastAsia" w:ascii="宋体" w:hAnsi="宋体" w:cs="宋体"/>
          <w:b/>
          <w:bCs/>
          <w:highlight w:val="none"/>
        </w:rPr>
      </w:pPr>
    </w:p>
    <w:p w14:paraId="7095A687">
      <w:pPr>
        <w:pStyle w:val="21"/>
        <w:spacing w:before="120" w:beforeLines="50" w:afterLines="50"/>
        <w:ind w:left="0" w:leftChars="0"/>
        <w:jc w:val="center"/>
        <w:rPr>
          <w:rFonts w:eastAsia="黑体" w:cs="黑体"/>
          <w:sz w:val="36"/>
          <w:szCs w:val="36"/>
          <w:highlight w:val="none"/>
        </w:rPr>
      </w:pPr>
    </w:p>
    <w:p w14:paraId="3D18AC64">
      <w:pPr>
        <w:widowControl/>
        <w:jc w:val="left"/>
        <w:rPr>
          <w:rFonts w:eastAsia="黑体" w:cs="黑体"/>
          <w:sz w:val="36"/>
          <w:szCs w:val="36"/>
          <w:highlight w:val="none"/>
        </w:rPr>
      </w:pPr>
      <w:r>
        <w:rPr>
          <w:rFonts w:eastAsia="黑体" w:cs="黑体"/>
          <w:sz w:val="36"/>
          <w:szCs w:val="36"/>
          <w:highlight w:val="none"/>
        </w:rPr>
        <w:br w:type="page"/>
      </w:r>
    </w:p>
    <w:p w14:paraId="0D01CD02">
      <w:pPr>
        <w:keepNext/>
        <w:keepLines/>
        <w:numPr>
          <w:ilvl w:val="0"/>
          <w:numId w:val="0"/>
        </w:numPr>
        <w:snapToGrid w:val="0"/>
        <w:spacing w:line="360" w:lineRule="auto"/>
        <w:jc w:val="center"/>
        <w:outlineLvl w:val="2"/>
        <w:rPr>
          <w:rFonts w:hint="default" w:cs="Times New Roman"/>
          <w:b/>
          <w:bCs/>
          <w:w w:val="99"/>
          <w:kern w:val="0"/>
          <w:sz w:val="28"/>
          <w:szCs w:val="28"/>
          <w:highlight w:val="none"/>
          <w:lang w:val="en-US" w:eastAsia="zh-CN"/>
        </w:rPr>
      </w:pPr>
      <w:r>
        <w:rPr>
          <w:rFonts w:hint="eastAsia" w:cs="Times New Roman"/>
          <w:b/>
          <w:bCs/>
          <w:w w:val="99"/>
          <w:kern w:val="0"/>
          <w:sz w:val="28"/>
          <w:szCs w:val="28"/>
          <w:highlight w:val="none"/>
          <w:lang w:val="en-US" w:eastAsia="zh-CN"/>
        </w:rPr>
        <w:t>6、投标人信用等级截图</w:t>
      </w:r>
    </w:p>
    <w:p w14:paraId="12824757">
      <w:pPr>
        <w:keepNext/>
        <w:keepLines/>
        <w:pageBreakBefore w:val="0"/>
        <w:widowControl w:val="0"/>
        <w:numPr>
          <w:ilvl w:val="0"/>
          <w:numId w:val="0"/>
        </w:numPr>
        <w:kinsoku/>
        <w:wordWrap/>
        <w:overflowPunct/>
        <w:topLinePunct w:val="0"/>
        <w:autoSpaceDE/>
        <w:autoSpaceDN/>
        <w:bidi w:val="0"/>
        <w:adjustRightInd w:val="0"/>
        <w:snapToGrid w:val="0"/>
        <w:spacing w:line="360" w:lineRule="auto"/>
        <w:ind w:firstLine="414" w:firstLineChars="200"/>
        <w:jc w:val="both"/>
        <w:textAlignment w:val="auto"/>
        <w:outlineLvl w:val="2"/>
        <w:rPr>
          <w:rFonts w:hint="eastAsia" w:asciiTheme="minorEastAsia" w:hAnsiTheme="minorEastAsia" w:eastAsiaTheme="minorEastAsia" w:cstheme="minorEastAsia"/>
          <w:b w:val="0"/>
          <w:bCs w:val="0"/>
          <w:w w:val="99"/>
          <w:kern w:val="0"/>
          <w:sz w:val="21"/>
          <w:szCs w:val="21"/>
          <w:highlight w:val="none"/>
          <w:lang w:val="en-US" w:eastAsia="zh-CN"/>
        </w:rPr>
      </w:pPr>
      <w:r>
        <w:rPr>
          <w:rFonts w:hint="eastAsia" w:asciiTheme="minorEastAsia" w:hAnsiTheme="minorEastAsia" w:eastAsiaTheme="minorEastAsia" w:cstheme="minorEastAsia"/>
          <w:b w:val="0"/>
          <w:bCs w:val="0"/>
          <w:w w:val="99"/>
          <w:kern w:val="0"/>
          <w:sz w:val="21"/>
          <w:szCs w:val="21"/>
          <w:highlight w:val="none"/>
          <w:lang w:val="en-US" w:eastAsia="zh-CN"/>
        </w:rPr>
        <w:t>注：投标人在最近一期公路水路建设市场从业单位信用评定结果中的信用等级分数，有江苏省信用评价结果的，以江苏省信用评价结果为准；无江苏省信用评价结果的，其信用等级按照以下原则确定：①资质由国务院有关部门许可的从业单位，其信用等级按照国务院交通运输主管部门公布的全国综合评价结果确定；②无全国综合评价结果的从业单位，其信用等级参照注册地省交通运输主管部门综合评价结果确定：综合评价结果为AA级的，按照A级（信用分94.5分）确定；综合评价结果为 A级的，按照A级（信用分不高于90分）确定；注册地省级综合评价结果为B级及以下的，按照其信用等级确定；③其他从业单位，其信用等级按照暂定A级确定（信用分为85分）；④存在《江苏省公路水运建设市场信用信息管理办法》的通知苏交规〔2024〕6号文件第十四条规定的不良行为的，按照规定确定其信用等级）；信用类别：施工；以截止递交投标文件当日查询信息为准。适用于本项目招标投标过程各阶段（环节）。</w:t>
      </w:r>
    </w:p>
    <w:p w14:paraId="19036B1A">
      <w:pPr>
        <w:rPr>
          <w:rFonts w:hint="eastAsia" w:cs="Times New Roman"/>
          <w:b/>
          <w:bCs/>
          <w:w w:val="99"/>
          <w:kern w:val="0"/>
          <w:sz w:val="28"/>
          <w:szCs w:val="28"/>
          <w:highlight w:val="none"/>
          <w:lang w:val="en-US" w:eastAsia="zh-CN"/>
        </w:rPr>
      </w:pPr>
      <w:r>
        <w:rPr>
          <w:rFonts w:hint="eastAsia" w:cs="Times New Roman"/>
          <w:b/>
          <w:bCs/>
          <w:w w:val="99"/>
          <w:kern w:val="0"/>
          <w:sz w:val="28"/>
          <w:szCs w:val="28"/>
          <w:highlight w:val="none"/>
          <w:lang w:val="en-US" w:eastAsia="zh-CN"/>
        </w:rPr>
        <w:br w:type="page"/>
      </w:r>
    </w:p>
    <w:p w14:paraId="62EDF7B7">
      <w:pPr>
        <w:keepNext/>
        <w:keepLines/>
        <w:snapToGrid w:val="0"/>
        <w:spacing w:line="360" w:lineRule="auto"/>
        <w:jc w:val="center"/>
        <w:outlineLvl w:val="2"/>
        <w:rPr>
          <w:rFonts w:hint="eastAsia" w:ascii="Times New Roman" w:hAnsi="Times New Roman" w:eastAsia="宋体" w:cs="Times New Roman"/>
          <w:b/>
          <w:bCs/>
          <w:w w:val="99"/>
          <w:kern w:val="0"/>
          <w:sz w:val="28"/>
          <w:szCs w:val="28"/>
          <w:highlight w:val="none"/>
        </w:rPr>
      </w:pPr>
      <w:r>
        <w:rPr>
          <w:rFonts w:hint="eastAsia" w:cs="Times New Roman"/>
          <w:b/>
          <w:bCs/>
          <w:w w:val="99"/>
          <w:kern w:val="0"/>
          <w:sz w:val="28"/>
          <w:szCs w:val="28"/>
          <w:highlight w:val="none"/>
          <w:lang w:val="en-US" w:eastAsia="zh-CN"/>
        </w:rPr>
        <w:t>7</w:t>
      </w:r>
      <w:r>
        <w:rPr>
          <w:rFonts w:hint="eastAsia" w:ascii="Times New Roman" w:hAnsi="Times New Roman" w:eastAsia="宋体" w:cs="Times New Roman"/>
          <w:b/>
          <w:bCs/>
          <w:w w:val="99"/>
          <w:kern w:val="0"/>
          <w:sz w:val="28"/>
          <w:szCs w:val="28"/>
          <w:highlight w:val="none"/>
        </w:rPr>
        <w:t>、投标人认为应提供的其他材料</w:t>
      </w:r>
    </w:p>
    <w:bookmarkEnd w:id="115"/>
    <w:p w14:paraId="452FDA40">
      <w:pPr>
        <w:rPr>
          <w:highlight w:val="none"/>
        </w:rPr>
        <w:sectPr>
          <w:type w:val="continuous"/>
          <w:pgSz w:w="11905" w:h="16838"/>
          <w:pgMar w:top="1077" w:right="1134" w:bottom="1077" w:left="1134" w:header="850" w:footer="992" w:gutter="0"/>
          <w:pgNumType w:fmt="decimal"/>
          <w:cols w:space="0" w:num="1"/>
          <w:docGrid w:linePitch="312" w:charSpace="0"/>
        </w:sectPr>
      </w:pPr>
    </w:p>
    <w:p w14:paraId="55C829BD">
      <w:pPr>
        <w:widowControl/>
        <w:jc w:val="left"/>
        <w:rPr>
          <w:rFonts w:hint="eastAsia" w:ascii="宋体" w:hAnsi="宋体" w:cs="宋体"/>
          <w:b/>
          <w:bCs/>
          <w:sz w:val="32"/>
          <w:szCs w:val="32"/>
          <w:highlight w:val="none"/>
        </w:rPr>
      </w:pPr>
      <w:r>
        <w:rPr>
          <w:rFonts w:hint="eastAsia" w:ascii="宋体" w:hAnsi="宋体" w:cs="宋体"/>
          <w:b/>
          <w:bCs/>
          <w:sz w:val="32"/>
          <w:szCs w:val="32"/>
          <w:highlight w:val="none"/>
        </w:rPr>
        <w:br w:type="page"/>
      </w:r>
    </w:p>
    <w:p w14:paraId="1FE8BC9C">
      <w:pPr>
        <w:spacing w:line="360" w:lineRule="auto"/>
        <w:rPr>
          <w:rFonts w:hint="eastAsia" w:ascii="宋体" w:hAnsi="宋体"/>
          <w:b/>
          <w:bCs/>
          <w:color w:val="auto"/>
          <w:sz w:val="32"/>
          <w:highlight w:val="none"/>
          <w:u w:val="single"/>
        </w:rPr>
      </w:pPr>
      <w:r>
        <w:rPr>
          <w:rFonts w:hint="eastAsia" w:ascii="宋体" w:hAnsi="宋体"/>
          <w:b/>
          <w:bCs/>
          <w:color w:val="auto"/>
          <w:sz w:val="32"/>
          <w:highlight w:val="none"/>
          <w:u w:val="single"/>
        </w:rPr>
        <w:t>（第二信封 报价文件格式）</w:t>
      </w:r>
    </w:p>
    <w:p w14:paraId="29591BAD">
      <w:pPr>
        <w:autoSpaceDE w:val="0"/>
        <w:autoSpaceDN w:val="0"/>
        <w:adjustRightInd w:val="0"/>
        <w:snapToGrid w:val="0"/>
        <w:jc w:val="left"/>
        <w:rPr>
          <w:rFonts w:hint="eastAsia" w:ascii="宋体" w:hAnsi="宋体"/>
          <w:b/>
          <w:color w:val="auto"/>
          <w:kern w:val="0"/>
          <w:sz w:val="30"/>
          <w:szCs w:val="30"/>
          <w:highlight w:val="none"/>
        </w:rPr>
      </w:pPr>
      <w:r>
        <w:rPr>
          <w:rFonts w:hint="eastAsia" w:ascii="宋体" w:hAnsi="宋体"/>
          <w:b/>
          <w:color w:val="auto"/>
          <w:kern w:val="0"/>
          <w:sz w:val="30"/>
          <w:szCs w:val="30"/>
          <w:highlight w:val="none"/>
        </w:rPr>
        <w:t>封面格式</w:t>
      </w:r>
    </w:p>
    <w:p w14:paraId="0A01C0AA">
      <w:pPr>
        <w:autoSpaceDE w:val="0"/>
        <w:autoSpaceDN w:val="0"/>
        <w:adjustRightInd w:val="0"/>
        <w:spacing w:line="200" w:lineRule="exact"/>
        <w:jc w:val="left"/>
        <w:rPr>
          <w:rFonts w:hint="eastAsia" w:ascii="宋体" w:hAnsi="宋体"/>
          <w:color w:val="auto"/>
          <w:kern w:val="0"/>
          <w:sz w:val="20"/>
          <w:szCs w:val="20"/>
          <w:highlight w:val="none"/>
        </w:rPr>
      </w:pPr>
    </w:p>
    <w:p w14:paraId="7B14B766">
      <w:pPr>
        <w:autoSpaceDE w:val="0"/>
        <w:autoSpaceDN w:val="0"/>
        <w:adjustRightInd w:val="0"/>
        <w:spacing w:line="200" w:lineRule="exact"/>
        <w:jc w:val="left"/>
        <w:rPr>
          <w:rFonts w:hint="eastAsia" w:ascii="宋体" w:hAnsi="宋体"/>
          <w:color w:val="auto"/>
          <w:kern w:val="0"/>
          <w:sz w:val="20"/>
          <w:szCs w:val="20"/>
          <w:highlight w:val="none"/>
        </w:rPr>
      </w:pPr>
    </w:p>
    <w:p w14:paraId="4271DF72">
      <w:pPr>
        <w:autoSpaceDE w:val="0"/>
        <w:autoSpaceDN w:val="0"/>
        <w:adjustRightInd w:val="0"/>
        <w:snapToGrid w:val="0"/>
        <w:spacing w:line="360" w:lineRule="auto"/>
        <w:jc w:val="center"/>
        <w:rPr>
          <w:rFonts w:hint="eastAsia" w:ascii="宋体" w:hAnsi="宋体" w:eastAsia="宋体" w:cs="MingLiU"/>
          <w:b/>
          <w:color w:val="auto"/>
          <w:w w:val="99"/>
          <w:kern w:val="0"/>
          <w:sz w:val="44"/>
          <w:szCs w:val="44"/>
          <w:highlight w:val="none"/>
          <w:lang w:eastAsia="zh-CN"/>
        </w:rPr>
      </w:pPr>
      <w:r>
        <w:rPr>
          <w:rFonts w:hint="eastAsia" w:ascii="宋体" w:hAnsi="宋体" w:cs="MingLiU"/>
          <w:b/>
          <w:color w:val="auto"/>
          <w:w w:val="99"/>
          <w:kern w:val="0"/>
          <w:sz w:val="44"/>
          <w:szCs w:val="44"/>
          <w:highlight w:val="none"/>
          <w:lang w:eastAsia="zh-CN"/>
        </w:rPr>
        <w:t>北新桥航标沿线护坡防塌加固工程</w:t>
      </w:r>
    </w:p>
    <w:p w14:paraId="3A5CA8E8">
      <w:pPr>
        <w:autoSpaceDE w:val="0"/>
        <w:autoSpaceDN w:val="0"/>
        <w:adjustRightInd w:val="0"/>
        <w:snapToGrid w:val="0"/>
        <w:jc w:val="center"/>
        <w:rPr>
          <w:rFonts w:hint="eastAsia" w:ascii="宋体" w:hAnsi="宋体" w:cs="MingLiU"/>
          <w:color w:val="auto"/>
          <w:kern w:val="0"/>
          <w:sz w:val="24"/>
          <w:highlight w:val="none"/>
        </w:rPr>
      </w:pPr>
    </w:p>
    <w:p w14:paraId="5232BAAF">
      <w:pPr>
        <w:autoSpaceDE w:val="0"/>
        <w:autoSpaceDN w:val="0"/>
        <w:adjustRightInd w:val="0"/>
        <w:spacing w:before="15" w:line="240" w:lineRule="exact"/>
        <w:jc w:val="left"/>
        <w:rPr>
          <w:rFonts w:hint="eastAsia" w:ascii="宋体" w:hAnsi="宋体" w:cs="MingLiU"/>
          <w:color w:val="auto"/>
          <w:kern w:val="0"/>
          <w:sz w:val="24"/>
          <w:highlight w:val="none"/>
        </w:rPr>
      </w:pPr>
    </w:p>
    <w:p w14:paraId="787C9231">
      <w:pPr>
        <w:autoSpaceDE w:val="0"/>
        <w:autoSpaceDN w:val="0"/>
        <w:adjustRightInd w:val="0"/>
        <w:spacing w:before="15" w:line="240" w:lineRule="exact"/>
        <w:jc w:val="left"/>
        <w:rPr>
          <w:rFonts w:hint="eastAsia" w:ascii="宋体" w:hAnsi="宋体" w:cs="MingLiU"/>
          <w:color w:val="auto"/>
          <w:kern w:val="0"/>
          <w:sz w:val="24"/>
          <w:highlight w:val="none"/>
        </w:rPr>
      </w:pPr>
    </w:p>
    <w:p w14:paraId="7945324D">
      <w:pPr>
        <w:autoSpaceDE w:val="0"/>
        <w:autoSpaceDN w:val="0"/>
        <w:adjustRightInd w:val="0"/>
        <w:spacing w:before="15" w:line="240" w:lineRule="exact"/>
        <w:jc w:val="left"/>
        <w:rPr>
          <w:rFonts w:hint="eastAsia" w:ascii="宋体" w:hAnsi="宋体" w:cs="MingLiU"/>
          <w:color w:val="auto"/>
          <w:kern w:val="0"/>
          <w:sz w:val="24"/>
          <w:highlight w:val="none"/>
        </w:rPr>
      </w:pPr>
    </w:p>
    <w:p w14:paraId="359A01C1">
      <w:pPr>
        <w:autoSpaceDE w:val="0"/>
        <w:autoSpaceDN w:val="0"/>
        <w:adjustRightInd w:val="0"/>
        <w:spacing w:before="15" w:line="240" w:lineRule="exact"/>
        <w:jc w:val="left"/>
        <w:rPr>
          <w:rFonts w:hint="eastAsia" w:ascii="宋体" w:hAnsi="宋体" w:cs="MingLiU"/>
          <w:color w:val="auto"/>
          <w:kern w:val="0"/>
          <w:sz w:val="24"/>
          <w:highlight w:val="none"/>
        </w:rPr>
      </w:pPr>
    </w:p>
    <w:p w14:paraId="12054886">
      <w:pPr>
        <w:autoSpaceDE w:val="0"/>
        <w:autoSpaceDN w:val="0"/>
        <w:adjustRightInd w:val="0"/>
        <w:spacing w:before="15" w:line="240" w:lineRule="exact"/>
        <w:jc w:val="left"/>
        <w:rPr>
          <w:rFonts w:hint="eastAsia" w:ascii="宋体" w:hAnsi="宋体" w:cs="MingLiU"/>
          <w:color w:val="auto"/>
          <w:kern w:val="0"/>
          <w:sz w:val="24"/>
          <w:highlight w:val="none"/>
        </w:rPr>
      </w:pPr>
    </w:p>
    <w:p w14:paraId="7EEA5448">
      <w:pPr>
        <w:autoSpaceDE w:val="0"/>
        <w:autoSpaceDN w:val="0"/>
        <w:adjustRightInd w:val="0"/>
        <w:spacing w:before="15" w:line="240" w:lineRule="exact"/>
        <w:jc w:val="left"/>
        <w:rPr>
          <w:rFonts w:hint="eastAsia" w:ascii="宋体" w:hAnsi="宋体" w:cs="MingLiU"/>
          <w:color w:val="auto"/>
          <w:kern w:val="0"/>
          <w:sz w:val="24"/>
          <w:highlight w:val="none"/>
        </w:rPr>
      </w:pPr>
    </w:p>
    <w:p w14:paraId="1B97598C">
      <w:pPr>
        <w:autoSpaceDE w:val="0"/>
        <w:autoSpaceDN w:val="0"/>
        <w:adjustRightInd w:val="0"/>
        <w:spacing w:before="15" w:line="240" w:lineRule="exact"/>
        <w:jc w:val="left"/>
        <w:rPr>
          <w:rFonts w:hint="eastAsia" w:ascii="宋体" w:hAnsi="宋体" w:cs="MingLiU"/>
          <w:color w:val="auto"/>
          <w:kern w:val="0"/>
          <w:sz w:val="24"/>
          <w:highlight w:val="none"/>
        </w:rPr>
      </w:pPr>
    </w:p>
    <w:p w14:paraId="6FD22C6B">
      <w:pPr>
        <w:autoSpaceDE w:val="0"/>
        <w:autoSpaceDN w:val="0"/>
        <w:adjustRightInd w:val="0"/>
        <w:spacing w:before="15" w:line="240" w:lineRule="exact"/>
        <w:jc w:val="left"/>
        <w:rPr>
          <w:rFonts w:hint="eastAsia" w:ascii="宋体" w:hAnsi="宋体" w:cs="MingLiU"/>
          <w:color w:val="auto"/>
          <w:kern w:val="0"/>
          <w:sz w:val="24"/>
          <w:highlight w:val="none"/>
        </w:rPr>
      </w:pPr>
    </w:p>
    <w:p w14:paraId="37B0CDCC">
      <w:pPr>
        <w:autoSpaceDE w:val="0"/>
        <w:autoSpaceDN w:val="0"/>
        <w:adjustRightInd w:val="0"/>
        <w:spacing w:before="15" w:line="240" w:lineRule="exact"/>
        <w:jc w:val="left"/>
        <w:rPr>
          <w:rFonts w:hint="eastAsia" w:ascii="宋体" w:hAnsi="宋体" w:cs="MingLiU"/>
          <w:color w:val="auto"/>
          <w:kern w:val="0"/>
          <w:sz w:val="24"/>
          <w:highlight w:val="none"/>
        </w:rPr>
      </w:pPr>
    </w:p>
    <w:p w14:paraId="15AB2F6C">
      <w:pPr>
        <w:autoSpaceDE w:val="0"/>
        <w:autoSpaceDN w:val="0"/>
        <w:adjustRightInd w:val="0"/>
        <w:spacing w:before="15" w:line="240" w:lineRule="exact"/>
        <w:jc w:val="left"/>
        <w:rPr>
          <w:rFonts w:hint="eastAsia" w:ascii="宋体" w:hAnsi="宋体" w:cs="MingLiU"/>
          <w:color w:val="auto"/>
          <w:kern w:val="0"/>
          <w:sz w:val="24"/>
          <w:highlight w:val="none"/>
        </w:rPr>
      </w:pPr>
    </w:p>
    <w:p w14:paraId="2834698D">
      <w:pPr>
        <w:tabs>
          <w:tab w:val="left" w:pos="3600"/>
          <w:tab w:val="left" w:pos="4480"/>
          <w:tab w:val="left" w:pos="5360"/>
        </w:tabs>
        <w:autoSpaceDE w:val="0"/>
        <w:autoSpaceDN w:val="0"/>
        <w:adjustRightInd w:val="0"/>
        <w:ind w:left="142" w:right="-20"/>
        <w:jc w:val="center"/>
        <w:rPr>
          <w:rFonts w:ascii="宋体" w:hAnsi="宋体" w:cs="MingLiU"/>
          <w:b/>
          <w:color w:val="auto"/>
          <w:kern w:val="0"/>
          <w:sz w:val="96"/>
          <w:szCs w:val="72"/>
          <w:highlight w:val="none"/>
        </w:rPr>
      </w:pPr>
      <w:r>
        <w:rPr>
          <w:rFonts w:hint="eastAsia" w:ascii="宋体" w:hAnsi="宋体" w:cs="MingLiU"/>
          <w:b/>
          <w:color w:val="auto"/>
          <w:kern w:val="0"/>
          <w:sz w:val="96"/>
          <w:szCs w:val="72"/>
          <w:highlight w:val="none"/>
        </w:rPr>
        <w:t>投标文件</w:t>
      </w:r>
    </w:p>
    <w:p w14:paraId="4CC2DB1A">
      <w:pPr>
        <w:pStyle w:val="4"/>
        <w:snapToGrid w:val="0"/>
        <w:spacing w:before="0" w:after="0" w:line="360" w:lineRule="auto"/>
        <w:jc w:val="center"/>
        <w:rPr>
          <w:rFonts w:ascii="宋体" w:hAnsi="宋体"/>
          <w:color w:val="auto"/>
          <w:w w:val="99"/>
          <w:kern w:val="0"/>
          <w:highlight w:val="none"/>
        </w:rPr>
      </w:pPr>
      <w:bookmarkStart w:id="139" w:name="_Toc401319716"/>
      <w:bookmarkStart w:id="140" w:name="_Toc287272889"/>
      <w:bookmarkStart w:id="141" w:name="_Toc271904340"/>
      <w:bookmarkStart w:id="142" w:name="_Toc348945942"/>
      <w:bookmarkStart w:id="143" w:name="_Toc7589"/>
      <w:bookmarkStart w:id="144" w:name="_Toc399835178"/>
      <w:r>
        <w:rPr>
          <w:rFonts w:hint="eastAsia" w:ascii="宋体" w:hAnsi="宋体"/>
          <w:color w:val="auto"/>
          <w:w w:val="99"/>
          <w:kern w:val="0"/>
          <w:highlight w:val="none"/>
        </w:rPr>
        <w:t xml:space="preserve">第二信封  </w:t>
      </w:r>
      <w:bookmarkEnd w:id="139"/>
      <w:bookmarkEnd w:id="140"/>
      <w:bookmarkEnd w:id="141"/>
      <w:bookmarkEnd w:id="142"/>
      <w:bookmarkEnd w:id="143"/>
      <w:bookmarkEnd w:id="144"/>
      <w:r>
        <w:rPr>
          <w:rFonts w:hint="eastAsia" w:ascii="宋体" w:hAnsi="宋体"/>
          <w:color w:val="auto"/>
          <w:w w:val="99"/>
          <w:kern w:val="0"/>
          <w:highlight w:val="none"/>
        </w:rPr>
        <w:t>报价文件</w:t>
      </w:r>
    </w:p>
    <w:p w14:paraId="003E6898">
      <w:pPr>
        <w:autoSpaceDE w:val="0"/>
        <w:autoSpaceDN w:val="0"/>
        <w:adjustRightInd w:val="0"/>
        <w:spacing w:before="5" w:line="160" w:lineRule="exact"/>
        <w:jc w:val="left"/>
        <w:rPr>
          <w:rFonts w:ascii="宋体" w:hAnsi="宋体" w:cs="MingLiU"/>
          <w:color w:val="auto"/>
          <w:kern w:val="0"/>
          <w:sz w:val="16"/>
          <w:szCs w:val="16"/>
          <w:highlight w:val="none"/>
        </w:rPr>
      </w:pPr>
    </w:p>
    <w:p w14:paraId="3F4EFA3E">
      <w:pPr>
        <w:autoSpaceDE w:val="0"/>
        <w:autoSpaceDN w:val="0"/>
        <w:adjustRightInd w:val="0"/>
        <w:spacing w:line="200" w:lineRule="exact"/>
        <w:jc w:val="left"/>
        <w:rPr>
          <w:rFonts w:ascii="宋体" w:hAnsi="宋体" w:cs="MingLiU"/>
          <w:color w:val="auto"/>
          <w:kern w:val="0"/>
          <w:sz w:val="20"/>
          <w:szCs w:val="20"/>
          <w:highlight w:val="none"/>
        </w:rPr>
      </w:pPr>
    </w:p>
    <w:p w14:paraId="409D4E51">
      <w:pPr>
        <w:autoSpaceDE w:val="0"/>
        <w:autoSpaceDN w:val="0"/>
        <w:adjustRightInd w:val="0"/>
        <w:spacing w:line="200" w:lineRule="exact"/>
        <w:jc w:val="left"/>
        <w:rPr>
          <w:rFonts w:ascii="宋体" w:hAnsi="宋体" w:cs="MingLiU"/>
          <w:color w:val="auto"/>
          <w:kern w:val="0"/>
          <w:sz w:val="20"/>
          <w:szCs w:val="20"/>
          <w:highlight w:val="none"/>
        </w:rPr>
      </w:pPr>
    </w:p>
    <w:p w14:paraId="6E76E603">
      <w:pPr>
        <w:autoSpaceDE w:val="0"/>
        <w:autoSpaceDN w:val="0"/>
        <w:adjustRightInd w:val="0"/>
        <w:spacing w:line="200" w:lineRule="exact"/>
        <w:jc w:val="left"/>
        <w:rPr>
          <w:rFonts w:ascii="宋体" w:hAnsi="宋体" w:cs="MingLiU"/>
          <w:color w:val="auto"/>
          <w:kern w:val="0"/>
          <w:sz w:val="20"/>
          <w:szCs w:val="20"/>
          <w:highlight w:val="none"/>
        </w:rPr>
      </w:pPr>
    </w:p>
    <w:p w14:paraId="41074B76">
      <w:pPr>
        <w:autoSpaceDE w:val="0"/>
        <w:autoSpaceDN w:val="0"/>
        <w:adjustRightInd w:val="0"/>
        <w:spacing w:line="200" w:lineRule="exact"/>
        <w:jc w:val="left"/>
        <w:rPr>
          <w:rFonts w:ascii="宋体" w:hAnsi="宋体" w:cs="MingLiU"/>
          <w:color w:val="auto"/>
          <w:kern w:val="0"/>
          <w:sz w:val="20"/>
          <w:szCs w:val="20"/>
          <w:highlight w:val="none"/>
        </w:rPr>
      </w:pPr>
    </w:p>
    <w:p w14:paraId="61CF38E1">
      <w:pPr>
        <w:autoSpaceDE w:val="0"/>
        <w:autoSpaceDN w:val="0"/>
        <w:adjustRightInd w:val="0"/>
        <w:spacing w:line="200" w:lineRule="exact"/>
        <w:jc w:val="left"/>
        <w:rPr>
          <w:rFonts w:ascii="宋体" w:hAnsi="宋体" w:cs="MingLiU"/>
          <w:color w:val="auto"/>
          <w:kern w:val="0"/>
          <w:sz w:val="20"/>
          <w:szCs w:val="20"/>
          <w:highlight w:val="none"/>
        </w:rPr>
      </w:pPr>
    </w:p>
    <w:p w14:paraId="7E073662">
      <w:pPr>
        <w:autoSpaceDE w:val="0"/>
        <w:autoSpaceDN w:val="0"/>
        <w:adjustRightInd w:val="0"/>
        <w:spacing w:line="200" w:lineRule="exact"/>
        <w:jc w:val="left"/>
        <w:rPr>
          <w:rFonts w:ascii="宋体" w:hAnsi="宋体" w:cs="MingLiU"/>
          <w:color w:val="auto"/>
          <w:kern w:val="0"/>
          <w:sz w:val="20"/>
          <w:szCs w:val="20"/>
          <w:highlight w:val="none"/>
        </w:rPr>
      </w:pPr>
    </w:p>
    <w:p w14:paraId="5550D21A">
      <w:pPr>
        <w:autoSpaceDE w:val="0"/>
        <w:autoSpaceDN w:val="0"/>
        <w:adjustRightInd w:val="0"/>
        <w:spacing w:line="200" w:lineRule="exact"/>
        <w:jc w:val="left"/>
        <w:rPr>
          <w:rFonts w:ascii="宋体" w:hAnsi="宋体" w:cs="MingLiU"/>
          <w:color w:val="auto"/>
          <w:kern w:val="0"/>
          <w:sz w:val="20"/>
          <w:szCs w:val="20"/>
          <w:highlight w:val="none"/>
        </w:rPr>
      </w:pPr>
    </w:p>
    <w:p w14:paraId="02E26E5E">
      <w:pPr>
        <w:autoSpaceDE w:val="0"/>
        <w:autoSpaceDN w:val="0"/>
        <w:adjustRightInd w:val="0"/>
        <w:spacing w:line="200" w:lineRule="exact"/>
        <w:jc w:val="left"/>
        <w:rPr>
          <w:rFonts w:ascii="宋体" w:hAnsi="宋体" w:cs="MingLiU"/>
          <w:color w:val="auto"/>
          <w:kern w:val="0"/>
          <w:sz w:val="20"/>
          <w:szCs w:val="20"/>
          <w:highlight w:val="none"/>
        </w:rPr>
      </w:pPr>
    </w:p>
    <w:p w14:paraId="118A2456">
      <w:pPr>
        <w:autoSpaceDE w:val="0"/>
        <w:autoSpaceDN w:val="0"/>
        <w:adjustRightInd w:val="0"/>
        <w:spacing w:line="200" w:lineRule="exact"/>
        <w:jc w:val="left"/>
        <w:rPr>
          <w:rFonts w:ascii="宋体" w:hAnsi="宋体" w:cs="MingLiU"/>
          <w:color w:val="auto"/>
          <w:kern w:val="0"/>
          <w:sz w:val="20"/>
          <w:szCs w:val="20"/>
          <w:highlight w:val="none"/>
        </w:rPr>
      </w:pPr>
    </w:p>
    <w:p w14:paraId="7E41CE31">
      <w:pPr>
        <w:autoSpaceDE w:val="0"/>
        <w:autoSpaceDN w:val="0"/>
        <w:adjustRightInd w:val="0"/>
        <w:spacing w:line="200" w:lineRule="exact"/>
        <w:jc w:val="left"/>
        <w:rPr>
          <w:rFonts w:ascii="宋体" w:hAnsi="宋体" w:cs="MingLiU"/>
          <w:color w:val="auto"/>
          <w:kern w:val="0"/>
          <w:sz w:val="20"/>
          <w:szCs w:val="20"/>
          <w:highlight w:val="none"/>
        </w:rPr>
      </w:pPr>
    </w:p>
    <w:p w14:paraId="18E4B222">
      <w:pPr>
        <w:autoSpaceDE w:val="0"/>
        <w:autoSpaceDN w:val="0"/>
        <w:adjustRightInd w:val="0"/>
        <w:spacing w:line="200" w:lineRule="exact"/>
        <w:jc w:val="left"/>
        <w:rPr>
          <w:rFonts w:ascii="宋体" w:hAnsi="宋体" w:cs="MingLiU"/>
          <w:color w:val="auto"/>
          <w:kern w:val="0"/>
          <w:sz w:val="20"/>
          <w:szCs w:val="20"/>
          <w:highlight w:val="none"/>
        </w:rPr>
      </w:pPr>
    </w:p>
    <w:p w14:paraId="676EA09D">
      <w:pPr>
        <w:autoSpaceDE w:val="0"/>
        <w:autoSpaceDN w:val="0"/>
        <w:adjustRightInd w:val="0"/>
        <w:spacing w:line="200" w:lineRule="exact"/>
        <w:jc w:val="left"/>
        <w:rPr>
          <w:rFonts w:ascii="宋体" w:hAnsi="宋体" w:cs="MingLiU"/>
          <w:color w:val="auto"/>
          <w:kern w:val="0"/>
          <w:sz w:val="20"/>
          <w:szCs w:val="20"/>
          <w:highlight w:val="none"/>
        </w:rPr>
      </w:pPr>
    </w:p>
    <w:p w14:paraId="1B8360E0">
      <w:pPr>
        <w:autoSpaceDE w:val="0"/>
        <w:autoSpaceDN w:val="0"/>
        <w:adjustRightInd w:val="0"/>
        <w:spacing w:line="200" w:lineRule="exact"/>
        <w:jc w:val="left"/>
        <w:rPr>
          <w:rFonts w:ascii="宋体" w:hAnsi="宋体" w:cs="MingLiU"/>
          <w:color w:val="auto"/>
          <w:kern w:val="0"/>
          <w:sz w:val="20"/>
          <w:szCs w:val="20"/>
          <w:highlight w:val="none"/>
        </w:rPr>
      </w:pPr>
    </w:p>
    <w:p w14:paraId="32572D2D">
      <w:pPr>
        <w:autoSpaceDE w:val="0"/>
        <w:autoSpaceDN w:val="0"/>
        <w:adjustRightInd w:val="0"/>
        <w:spacing w:line="200" w:lineRule="exact"/>
        <w:jc w:val="left"/>
        <w:rPr>
          <w:rFonts w:ascii="宋体" w:hAnsi="宋体" w:cs="MingLiU"/>
          <w:color w:val="auto"/>
          <w:kern w:val="0"/>
          <w:sz w:val="20"/>
          <w:szCs w:val="20"/>
          <w:highlight w:val="none"/>
        </w:rPr>
      </w:pPr>
    </w:p>
    <w:p w14:paraId="065EA60E">
      <w:pPr>
        <w:autoSpaceDE w:val="0"/>
        <w:autoSpaceDN w:val="0"/>
        <w:adjustRightInd w:val="0"/>
        <w:spacing w:line="200" w:lineRule="exact"/>
        <w:jc w:val="left"/>
        <w:rPr>
          <w:rFonts w:ascii="宋体" w:hAnsi="宋体" w:cs="MingLiU"/>
          <w:color w:val="auto"/>
          <w:kern w:val="0"/>
          <w:sz w:val="20"/>
          <w:szCs w:val="20"/>
          <w:highlight w:val="none"/>
        </w:rPr>
      </w:pPr>
    </w:p>
    <w:p w14:paraId="40F0D207">
      <w:pPr>
        <w:autoSpaceDE w:val="0"/>
        <w:autoSpaceDN w:val="0"/>
        <w:adjustRightInd w:val="0"/>
        <w:spacing w:line="200" w:lineRule="exact"/>
        <w:jc w:val="left"/>
        <w:rPr>
          <w:rFonts w:ascii="宋体" w:hAnsi="宋体" w:cs="MingLiU"/>
          <w:color w:val="auto"/>
          <w:kern w:val="0"/>
          <w:sz w:val="20"/>
          <w:szCs w:val="20"/>
          <w:highlight w:val="none"/>
        </w:rPr>
      </w:pPr>
    </w:p>
    <w:p w14:paraId="2EF926A7">
      <w:pPr>
        <w:autoSpaceDE w:val="0"/>
        <w:autoSpaceDN w:val="0"/>
        <w:adjustRightInd w:val="0"/>
        <w:spacing w:line="200" w:lineRule="exact"/>
        <w:jc w:val="left"/>
        <w:rPr>
          <w:rFonts w:ascii="宋体" w:hAnsi="宋体" w:cs="MingLiU"/>
          <w:color w:val="auto"/>
          <w:kern w:val="0"/>
          <w:sz w:val="20"/>
          <w:szCs w:val="20"/>
          <w:highlight w:val="none"/>
        </w:rPr>
      </w:pPr>
    </w:p>
    <w:p w14:paraId="6B6E3C28">
      <w:pPr>
        <w:autoSpaceDE w:val="0"/>
        <w:autoSpaceDN w:val="0"/>
        <w:adjustRightInd w:val="0"/>
        <w:spacing w:line="200" w:lineRule="exact"/>
        <w:jc w:val="left"/>
        <w:rPr>
          <w:rFonts w:ascii="宋体" w:hAnsi="宋体" w:cs="MingLiU"/>
          <w:color w:val="auto"/>
          <w:kern w:val="0"/>
          <w:sz w:val="20"/>
          <w:szCs w:val="20"/>
          <w:highlight w:val="none"/>
        </w:rPr>
      </w:pPr>
    </w:p>
    <w:p w14:paraId="02C1656D">
      <w:pPr>
        <w:tabs>
          <w:tab w:val="left" w:pos="6080"/>
          <w:tab w:val="left" w:pos="6640"/>
        </w:tabs>
        <w:autoSpaceDE w:val="0"/>
        <w:autoSpaceDN w:val="0"/>
        <w:adjustRightInd w:val="0"/>
        <w:spacing w:line="402" w:lineRule="auto"/>
        <w:ind w:right="403" w:firstLine="831" w:firstLineChars="300"/>
        <w:jc w:val="left"/>
        <w:rPr>
          <w:rFonts w:hint="eastAsia" w:ascii="宋体" w:hAnsi="宋体"/>
          <w:color w:val="auto"/>
          <w:w w:val="99"/>
          <w:kern w:val="0"/>
          <w:sz w:val="28"/>
          <w:szCs w:val="28"/>
          <w:highlight w:val="none"/>
        </w:rPr>
      </w:pPr>
      <w:r>
        <w:rPr>
          <w:rFonts w:hint="eastAsia" w:ascii="宋体" w:hAnsi="宋体" w:cs="MingLiU"/>
          <w:color w:val="auto"/>
          <w:w w:val="99"/>
          <w:kern w:val="0"/>
          <w:sz w:val="28"/>
          <w:szCs w:val="28"/>
          <w:highlight w:val="none"/>
        </w:rPr>
        <w:t>投标人</w:t>
      </w:r>
      <w:r>
        <w:rPr>
          <w:rFonts w:hint="eastAsia" w:ascii="宋体" w:hAnsi="宋体" w:cs="MingLiU"/>
          <w:color w:val="auto"/>
          <w:spacing w:val="1"/>
          <w:w w:val="99"/>
          <w:kern w:val="0"/>
          <w:sz w:val="28"/>
          <w:szCs w:val="28"/>
          <w:highlight w:val="none"/>
        </w:rPr>
        <w:t>：</w:t>
      </w:r>
      <w:r>
        <w:rPr>
          <w:rFonts w:ascii="宋体" w:hAnsi="宋体" w:cs="MingLiU"/>
          <w:color w:val="auto"/>
          <w:w w:val="198"/>
          <w:kern w:val="0"/>
          <w:sz w:val="28"/>
          <w:szCs w:val="28"/>
          <w:highlight w:val="none"/>
          <w:u w:val="single"/>
        </w:rPr>
        <w:t xml:space="preserve"> </w:t>
      </w:r>
      <w:r>
        <w:rPr>
          <w:rFonts w:ascii="宋体" w:hAnsi="宋体"/>
          <w:color w:val="auto"/>
          <w:kern w:val="0"/>
          <w:sz w:val="28"/>
          <w:szCs w:val="28"/>
          <w:highlight w:val="none"/>
          <w:u w:val="single"/>
        </w:rPr>
        <w:tab/>
      </w:r>
      <w:r>
        <w:rPr>
          <w:rFonts w:hint="eastAsia" w:ascii="宋体" w:hAnsi="宋体"/>
          <w:color w:val="auto"/>
          <w:kern w:val="0"/>
          <w:sz w:val="28"/>
          <w:szCs w:val="28"/>
          <w:highlight w:val="none"/>
        </w:rPr>
        <w:t>（盖单位章）</w:t>
      </w:r>
    </w:p>
    <w:p w14:paraId="07A8D95B">
      <w:pPr>
        <w:tabs>
          <w:tab w:val="left" w:pos="6080"/>
          <w:tab w:val="left" w:pos="6640"/>
        </w:tabs>
        <w:autoSpaceDE w:val="0"/>
        <w:autoSpaceDN w:val="0"/>
        <w:adjustRightInd w:val="0"/>
        <w:spacing w:line="402" w:lineRule="auto"/>
        <w:ind w:right="-58" w:firstLine="840" w:firstLineChars="300"/>
        <w:jc w:val="left"/>
        <w:rPr>
          <w:rFonts w:hint="eastAsia" w:ascii="宋体" w:hAnsi="宋体"/>
          <w:color w:val="auto"/>
          <w:w w:val="99"/>
          <w:kern w:val="0"/>
          <w:sz w:val="28"/>
          <w:szCs w:val="28"/>
          <w:highlight w:val="none"/>
        </w:rPr>
      </w:pPr>
      <w:r>
        <w:rPr>
          <w:rFonts w:hint="eastAsia" w:ascii="宋体" w:hAnsi="宋体"/>
          <w:color w:val="auto"/>
          <w:kern w:val="0"/>
          <w:sz w:val="28"/>
          <w:szCs w:val="28"/>
          <w:highlight w:val="none"/>
        </w:rPr>
        <w:t>法定</w:t>
      </w:r>
      <w:r>
        <w:rPr>
          <w:rFonts w:hint="eastAsia" w:ascii="宋体" w:hAnsi="宋体" w:cs="MingLiU"/>
          <w:color w:val="auto"/>
          <w:w w:val="99"/>
          <w:kern w:val="0"/>
          <w:sz w:val="28"/>
          <w:szCs w:val="28"/>
          <w:highlight w:val="none"/>
        </w:rPr>
        <w:t>代表</w:t>
      </w:r>
      <w:r>
        <w:rPr>
          <w:rFonts w:hint="eastAsia" w:ascii="宋体" w:hAnsi="宋体"/>
          <w:color w:val="auto"/>
          <w:kern w:val="0"/>
          <w:sz w:val="28"/>
          <w:szCs w:val="28"/>
          <w:highlight w:val="none"/>
        </w:rPr>
        <w:t>人或其委托代理人：</w:t>
      </w:r>
      <w:r>
        <w:rPr>
          <w:rFonts w:hint="eastAsia" w:ascii="宋体" w:hAnsi="宋体"/>
          <w:color w:val="auto"/>
          <w:kern w:val="0"/>
          <w:sz w:val="28"/>
          <w:szCs w:val="28"/>
          <w:highlight w:val="none"/>
          <w:u w:val="single"/>
        </w:rPr>
        <w:t xml:space="preserve">            </w:t>
      </w:r>
      <w:r>
        <w:rPr>
          <w:rFonts w:hint="eastAsia" w:ascii="宋体" w:hAnsi="宋体"/>
          <w:color w:val="auto"/>
          <w:kern w:val="0"/>
          <w:sz w:val="28"/>
          <w:szCs w:val="28"/>
          <w:highlight w:val="none"/>
        </w:rPr>
        <w:t>（签字或盖章）</w:t>
      </w:r>
    </w:p>
    <w:p w14:paraId="648DF3AD">
      <w:pPr>
        <w:autoSpaceDE w:val="0"/>
        <w:autoSpaceDN w:val="0"/>
        <w:adjustRightInd w:val="0"/>
        <w:snapToGrid w:val="0"/>
        <w:ind w:firstLine="2609" w:firstLineChars="942"/>
        <w:rPr>
          <w:rFonts w:hint="eastAsia" w:ascii="宋体" w:hAnsi="宋体" w:cs="MingLiU"/>
          <w:color w:val="auto"/>
          <w:w w:val="99"/>
          <w:kern w:val="0"/>
          <w:sz w:val="28"/>
          <w:szCs w:val="28"/>
          <w:highlight w:val="none"/>
        </w:rPr>
      </w:pPr>
      <w:r>
        <w:rPr>
          <w:rFonts w:hint="eastAsia" w:ascii="宋体" w:hAnsi="宋体" w:cs="MingLiU"/>
          <w:color w:val="auto"/>
          <w:w w:val="99"/>
          <w:kern w:val="0"/>
          <w:sz w:val="28"/>
          <w:szCs w:val="28"/>
          <w:highlight w:val="none"/>
          <w:u w:val="single"/>
        </w:rPr>
        <w:t xml:space="preserve">     </w:t>
      </w:r>
      <w:r>
        <w:rPr>
          <w:rFonts w:hint="eastAsia" w:ascii="宋体" w:hAnsi="宋体" w:cs="MingLiU"/>
          <w:color w:val="auto"/>
          <w:w w:val="99"/>
          <w:kern w:val="0"/>
          <w:sz w:val="28"/>
          <w:szCs w:val="28"/>
          <w:highlight w:val="none"/>
        </w:rPr>
        <w:t>年</w:t>
      </w:r>
      <w:r>
        <w:rPr>
          <w:rFonts w:hint="eastAsia" w:ascii="宋体" w:hAnsi="宋体" w:cs="MingLiU"/>
          <w:color w:val="auto"/>
          <w:w w:val="99"/>
          <w:kern w:val="0"/>
          <w:sz w:val="28"/>
          <w:szCs w:val="28"/>
          <w:highlight w:val="none"/>
          <w:u w:val="single"/>
        </w:rPr>
        <w:t xml:space="preserve">     </w:t>
      </w:r>
      <w:r>
        <w:rPr>
          <w:rFonts w:hint="eastAsia" w:ascii="宋体" w:hAnsi="宋体" w:cs="MingLiU"/>
          <w:color w:val="auto"/>
          <w:w w:val="99"/>
          <w:kern w:val="0"/>
          <w:sz w:val="28"/>
          <w:szCs w:val="28"/>
          <w:highlight w:val="none"/>
        </w:rPr>
        <w:t>月</w:t>
      </w:r>
      <w:r>
        <w:rPr>
          <w:rFonts w:hint="eastAsia" w:ascii="宋体" w:hAnsi="宋体" w:cs="MingLiU"/>
          <w:color w:val="auto"/>
          <w:w w:val="99"/>
          <w:kern w:val="0"/>
          <w:sz w:val="28"/>
          <w:szCs w:val="28"/>
          <w:highlight w:val="none"/>
          <w:u w:val="single"/>
        </w:rPr>
        <w:t xml:space="preserve">     </w:t>
      </w:r>
      <w:r>
        <w:rPr>
          <w:rFonts w:hint="eastAsia" w:ascii="宋体" w:hAnsi="宋体" w:cs="MingLiU"/>
          <w:color w:val="auto"/>
          <w:w w:val="99"/>
          <w:kern w:val="0"/>
          <w:sz w:val="28"/>
          <w:szCs w:val="28"/>
          <w:highlight w:val="none"/>
        </w:rPr>
        <w:t>日</w:t>
      </w:r>
    </w:p>
    <w:p w14:paraId="478BB59E">
      <w:pPr>
        <w:ind w:left="100"/>
        <w:jc w:val="center"/>
        <w:rPr>
          <w:sz w:val="36"/>
          <w:highlight w:val="none"/>
        </w:rPr>
      </w:pPr>
      <w:r>
        <w:rPr>
          <w:sz w:val="36"/>
          <w:highlight w:val="none"/>
        </w:rPr>
        <w:br w:type="page"/>
      </w:r>
    </w:p>
    <w:p w14:paraId="03C5086A">
      <w:pPr>
        <w:pStyle w:val="20"/>
        <w:ind w:left="100"/>
        <w:jc w:val="center"/>
        <w:rPr>
          <w:highlight w:val="none"/>
          <w:u w:val="single"/>
        </w:rPr>
      </w:pPr>
      <w:r>
        <w:rPr>
          <w:rFonts w:hint="eastAsia"/>
          <w:sz w:val="36"/>
          <w:highlight w:val="none"/>
        </w:rPr>
        <w:t>一、</w:t>
      </w:r>
      <w:r>
        <w:rPr>
          <w:sz w:val="36"/>
          <w:highlight w:val="none"/>
        </w:rPr>
        <w:t>投标函</w:t>
      </w:r>
    </w:p>
    <w:p w14:paraId="36D69429">
      <w:pPr>
        <w:pStyle w:val="20"/>
        <w:ind w:left="100"/>
        <w:rPr>
          <w:highlight w:val="none"/>
          <w:u w:val="single"/>
        </w:rPr>
      </w:pPr>
    </w:p>
    <w:p w14:paraId="718BF40A">
      <w:pPr>
        <w:pStyle w:val="20"/>
        <w:ind w:left="100"/>
        <w:rPr>
          <w:highlight w:val="none"/>
          <w:u w:val="single"/>
        </w:rPr>
      </w:pPr>
    </w:p>
    <w:p w14:paraId="113F6911">
      <w:pPr>
        <w:autoSpaceDE w:val="0"/>
        <w:autoSpaceDN w:val="0"/>
        <w:snapToGrid w:val="0"/>
        <w:spacing w:line="360" w:lineRule="auto"/>
        <w:ind w:left="100"/>
        <w:jc w:val="left"/>
        <w:rPr>
          <w:sz w:val="24"/>
          <w:szCs w:val="24"/>
          <w:highlight w:val="none"/>
        </w:rPr>
      </w:pPr>
      <w:r>
        <w:rPr>
          <w:sz w:val="24"/>
          <w:szCs w:val="24"/>
          <w:highlight w:val="none"/>
        </w:rPr>
        <w:t>（招标人名称）：</w:t>
      </w:r>
    </w:p>
    <w:p w14:paraId="0077E561">
      <w:pPr>
        <w:pStyle w:val="203"/>
        <w:numPr>
          <w:ilvl w:val="0"/>
          <w:numId w:val="2"/>
        </w:numPr>
        <w:tabs>
          <w:tab w:val="left" w:pos="941"/>
        </w:tabs>
        <w:autoSpaceDE w:val="0"/>
        <w:autoSpaceDN w:val="0"/>
        <w:snapToGrid w:val="0"/>
        <w:spacing w:line="360" w:lineRule="auto"/>
        <w:ind w:firstLine="480"/>
        <w:rPr>
          <w:sz w:val="24"/>
          <w:szCs w:val="24"/>
          <w:highlight w:val="none"/>
        </w:rPr>
      </w:pPr>
      <w:r>
        <w:rPr>
          <w:rFonts w:hint="eastAsia"/>
          <w:sz w:val="24"/>
          <w:szCs w:val="24"/>
          <w:highlight w:val="none"/>
        </w:rPr>
        <w:t>我方在仔细研究了</w:t>
      </w:r>
      <w:r>
        <w:rPr>
          <w:rFonts w:hint="eastAsia" w:hAnsi="宋体" w:cs="宋体"/>
          <w:sz w:val="24"/>
          <w:szCs w:val="24"/>
          <w:highlight w:val="none"/>
          <w:u w:val="single"/>
        </w:rPr>
        <w:t xml:space="preserve">      </w:t>
      </w:r>
      <w:r>
        <w:rPr>
          <w:sz w:val="24"/>
          <w:szCs w:val="24"/>
          <w:highlight w:val="none"/>
        </w:rPr>
        <w:t>（项目名称）</w:t>
      </w:r>
      <w:r>
        <w:rPr>
          <w:rFonts w:hint="eastAsia"/>
          <w:sz w:val="24"/>
          <w:szCs w:val="24"/>
          <w:highlight w:val="none"/>
        </w:rPr>
        <w:t>施工招标文件的全部内容</w:t>
      </w:r>
      <w:r>
        <w:rPr>
          <w:sz w:val="24"/>
          <w:szCs w:val="24"/>
          <w:highlight w:val="none"/>
        </w:rPr>
        <w:t>（含补遗书第</w:t>
      </w:r>
      <w:r>
        <w:rPr>
          <w:rFonts w:hint="eastAsia" w:hAnsi="宋体" w:cs="宋体"/>
          <w:sz w:val="24"/>
          <w:szCs w:val="24"/>
          <w:highlight w:val="none"/>
          <w:u w:val="single"/>
        </w:rPr>
        <w:t xml:space="preserve">      </w:t>
      </w:r>
      <w:r>
        <w:rPr>
          <w:sz w:val="24"/>
          <w:szCs w:val="24"/>
          <w:highlight w:val="none"/>
        </w:rPr>
        <w:t>号至第</w:t>
      </w:r>
      <w:r>
        <w:rPr>
          <w:rFonts w:hint="eastAsia" w:hAnsi="宋体" w:cs="宋体"/>
          <w:sz w:val="24"/>
          <w:szCs w:val="24"/>
          <w:highlight w:val="none"/>
          <w:u w:val="single"/>
        </w:rPr>
        <w:t xml:space="preserve">      </w:t>
      </w:r>
      <w:r>
        <w:rPr>
          <w:sz w:val="24"/>
          <w:szCs w:val="24"/>
          <w:highlight w:val="none"/>
        </w:rPr>
        <w:t>号）</w:t>
      </w:r>
      <w:r>
        <w:rPr>
          <w:rFonts w:hint="eastAsia"/>
          <w:sz w:val="24"/>
          <w:szCs w:val="24"/>
          <w:highlight w:val="none"/>
        </w:rPr>
        <w:t>，在考察工程现场后，愿意以人民币（大写）</w:t>
      </w:r>
      <w:r>
        <w:rPr>
          <w:rFonts w:hint="eastAsia" w:hAnsi="宋体" w:cs="宋体"/>
          <w:sz w:val="24"/>
          <w:szCs w:val="24"/>
          <w:highlight w:val="none"/>
          <w:u w:val="single"/>
        </w:rPr>
        <w:t xml:space="preserve">      </w:t>
      </w:r>
      <w:r>
        <w:rPr>
          <w:sz w:val="24"/>
          <w:szCs w:val="24"/>
          <w:highlight w:val="none"/>
        </w:rPr>
        <w:t>元（</w:t>
      </w:r>
      <w:r>
        <w:rPr>
          <w:rFonts w:hint="eastAsia"/>
          <w:sz w:val="24"/>
          <w:szCs w:val="24"/>
          <w:highlight w:val="none"/>
        </w:rPr>
        <w:t>¥</w:t>
      </w:r>
      <w:r>
        <w:rPr>
          <w:rFonts w:hint="eastAsia" w:hAnsi="宋体" w:cs="宋体"/>
          <w:sz w:val="24"/>
          <w:szCs w:val="24"/>
          <w:highlight w:val="none"/>
          <w:u w:val="single"/>
        </w:rPr>
        <w:t xml:space="preserve">      </w:t>
      </w:r>
      <w:r>
        <w:rPr>
          <w:sz w:val="24"/>
          <w:szCs w:val="24"/>
          <w:highlight w:val="none"/>
        </w:rPr>
        <w:t>）</w:t>
      </w:r>
      <w:r>
        <w:rPr>
          <w:rFonts w:hint="eastAsia"/>
          <w:sz w:val="24"/>
          <w:szCs w:val="24"/>
          <w:highlight w:val="none"/>
        </w:rPr>
        <w:t>的投标总报价（或根据招标文件规定修正核实后确定的另一金额），工期</w:t>
      </w:r>
      <w:r>
        <w:rPr>
          <w:rFonts w:hint="eastAsia" w:hAnsi="宋体" w:cs="宋体"/>
          <w:sz w:val="24"/>
          <w:szCs w:val="24"/>
          <w:highlight w:val="none"/>
          <w:u w:val="single"/>
        </w:rPr>
        <w:t xml:space="preserve">      </w:t>
      </w:r>
      <w:r>
        <w:rPr>
          <w:rFonts w:hint="eastAsia"/>
          <w:sz w:val="24"/>
          <w:szCs w:val="24"/>
          <w:highlight w:val="none"/>
        </w:rPr>
        <w:t>日历天，按合同约定实施和完成承包工程，修补工程中的任何缺陷。</w:t>
      </w:r>
    </w:p>
    <w:p w14:paraId="0E7FCC0B">
      <w:pPr>
        <w:pStyle w:val="203"/>
        <w:tabs>
          <w:tab w:val="left" w:pos="941"/>
        </w:tabs>
        <w:autoSpaceDE w:val="0"/>
        <w:autoSpaceDN w:val="0"/>
        <w:snapToGrid w:val="0"/>
        <w:spacing w:line="360" w:lineRule="auto"/>
        <w:ind w:firstLine="480"/>
        <w:rPr>
          <w:sz w:val="24"/>
          <w:szCs w:val="24"/>
          <w:highlight w:val="none"/>
        </w:rPr>
      </w:pPr>
      <w:r>
        <w:rPr>
          <w:rFonts w:hint="eastAsia"/>
          <w:sz w:val="24"/>
          <w:szCs w:val="24"/>
          <w:highlight w:val="none"/>
        </w:rPr>
        <w:t>2、在合同协议书正式签署生效之前，本投标函连同你方的中标通知书将构成我们双方之间共同遵守的文件，对双方具有约束力。</w:t>
      </w:r>
    </w:p>
    <w:p w14:paraId="6A5A1414">
      <w:pPr>
        <w:pStyle w:val="203"/>
        <w:tabs>
          <w:tab w:val="left" w:pos="941"/>
        </w:tabs>
        <w:autoSpaceDE w:val="0"/>
        <w:autoSpaceDN w:val="0"/>
        <w:snapToGrid w:val="0"/>
        <w:spacing w:line="360" w:lineRule="auto"/>
        <w:ind w:right="759" w:firstLine="480"/>
        <w:jc w:val="left"/>
        <w:rPr>
          <w:sz w:val="24"/>
          <w:szCs w:val="24"/>
          <w:highlight w:val="none"/>
        </w:rPr>
      </w:pPr>
      <w:r>
        <w:rPr>
          <w:rFonts w:hint="eastAsia"/>
          <w:sz w:val="24"/>
          <w:szCs w:val="24"/>
          <w:highlight w:val="none"/>
        </w:rPr>
        <w:t>3、（其他补充说明）。</w:t>
      </w:r>
    </w:p>
    <w:p w14:paraId="2526674C">
      <w:pPr>
        <w:pStyle w:val="20"/>
        <w:autoSpaceDE w:val="0"/>
        <w:autoSpaceDN w:val="0"/>
        <w:snapToGrid w:val="0"/>
        <w:spacing w:line="360" w:lineRule="auto"/>
        <w:rPr>
          <w:sz w:val="24"/>
          <w:szCs w:val="24"/>
          <w:highlight w:val="none"/>
        </w:rPr>
      </w:pPr>
    </w:p>
    <w:p w14:paraId="70E2CD77">
      <w:pPr>
        <w:autoSpaceDE w:val="0"/>
        <w:autoSpaceDN w:val="0"/>
        <w:snapToGrid w:val="0"/>
        <w:spacing w:line="360" w:lineRule="auto"/>
        <w:jc w:val="left"/>
        <w:rPr>
          <w:sz w:val="13"/>
          <w:highlight w:val="none"/>
        </w:rPr>
      </w:pPr>
      <w:r>
        <w:rPr>
          <w:sz w:val="24"/>
          <w:highlight w:val="none"/>
        </w:rPr>
        <w:t>投标人：</w:t>
      </w:r>
      <w:r>
        <w:rPr>
          <w:sz w:val="24"/>
          <w:highlight w:val="none"/>
          <w:u w:val="single"/>
        </w:rPr>
        <w:t>（盖单位章）</w:t>
      </w:r>
    </w:p>
    <w:p w14:paraId="5CFB3BD9">
      <w:pPr>
        <w:autoSpaceDE w:val="0"/>
        <w:autoSpaceDN w:val="0"/>
        <w:snapToGrid w:val="0"/>
        <w:spacing w:line="360" w:lineRule="auto"/>
        <w:jc w:val="left"/>
        <w:rPr>
          <w:sz w:val="13"/>
          <w:highlight w:val="none"/>
        </w:rPr>
      </w:pPr>
      <w:r>
        <w:rPr>
          <w:sz w:val="24"/>
          <w:highlight w:val="none"/>
        </w:rPr>
        <w:t>法定代表人或其委托代理人：</w:t>
      </w:r>
      <w:r>
        <w:rPr>
          <w:sz w:val="24"/>
          <w:highlight w:val="none"/>
          <w:u w:val="single"/>
        </w:rPr>
        <w:t>（签字）</w:t>
      </w:r>
    </w:p>
    <w:p w14:paraId="51405386">
      <w:pPr>
        <w:autoSpaceDE w:val="0"/>
        <w:autoSpaceDN w:val="0"/>
        <w:snapToGrid w:val="0"/>
        <w:spacing w:line="360" w:lineRule="auto"/>
        <w:ind w:right="239"/>
        <w:rPr>
          <w:sz w:val="13"/>
          <w:highlight w:val="none"/>
        </w:rPr>
      </w:pPr>
      <w:r>
        <w:rPr>
          <w:sz w:val="24"/>
          <w:highlight w:val="none"/>
        </w:rPr>
        <w:t>地址：</w:t>
      </w:r>
    </w:p>
    <w:p w14:paraId="18332CB2">
      <w:pPr>
        <w:autoSpaceDE w:val="0"/>
        <w:autoSpaceDN w:val="0"/>
        <w:snapToGrid w:val="0"/>
        <w:spacing w:line="360" w:lineRule="auto"/>
        <w:ind w:right="239"/>
        <w:rPr>
          <w:sz w:val="13"/>
          <w:highlight w:val="none"/>
        </w:rPr>
      </w:pPr>
      <w:r>
        <w:rPr>
          <w:sz w:val="24"/>
          <w:highlight w:val="none"/>
        </w:rPr>
        <w:t>网址：</w:t>
      </w:r>
    </w:p>
    <w:p w14:paraId="51F334C9">
      <w:pPr>
        <w:autoSpaceDE w:val="0"/>
        <w:autoSpaceDN w:val="0"/>
        <w:snapToGrid w:val="0"/>
        <w:spacing w:line="360" w:lineRule="auto"/>
        <w:ind w:right="239"/>
        <w:rPr>
          <w:sz w:val="13"/>
          <w:highlight w:val="none"/>
        </w:rPr>
      </w:pPr>
      <w:r>
        <w:rPr>
          <w:sz w:val="24"/>
          <w:highlight w:val="none"/>
        </w:rPr>
        <w:t>电话：</w:t>
      </w:r>
    </w:p>
    <w:p w14:paraId="3C2578C3">
      <w:pPr>
        <w:autoSpaceDE w:val="0"/>
        <w:autoSpaceDN w:val="0"/>
        <w:snapToGrid w:val="0"/>
        <w:spacing w:line="360" w:lineRule="auto"/>
        <w:ind w:right="239"/>
        <w:rPr>
          <w:sz w:val="13"/>
          <w:highlight w:val="none"/>
        </w:rPr>
      </w:pPr>
      <w:r>
        <w:rPr>
          <w:sz w:val="24"/>
          <w:highlight w:val="none"/>
        </w:rPr>
        <w:t>传真：</w:t>
      </w:r>
    </w:p>
    <w:p w14:paraId="0EB6F8D5">
      <w:pPr>
        <w:autoSpaceDE w:val="0"/>
        <w:autoSpaceDN w:val="0"/>
        <w:snapToGrid w:val="0"/>
        <w:spacing w:line="360" w:lineRule="auto"/>
        <w:ind w:right="239"/>
        <w:rPr>
          <w:sz w:val="24"/>
          <w:highlight w:val="none"/>
        </w:rPr>
      </w:pPr>
      <w:r>
        <w:rPr>
          <w:sz w:val="24"/>
          <w:highlight w:val="none"/>
        </w:rPr>
        <w:t>邮政编码：</w:t>
      </w:r>
    </w:p>
    <w:p w14:paraId="63B1403D">
      <w:pPr>
        <w:spacing w:before="66"/>
        <w:jc w:val="left"/>
        <w:rPr>
          <w:sz w:val="24"/>
          <w:highlight w:val="none"/>
        </w:rPr>
      </w:pPr>
      <w:r>
        <w:rPr>
          <w:sz w:val="24"/>
          <w:highlight w:val="none"/>
        </w:rPr>
        <w:t>日期：年月日</w:t>
      </w:r>
    </w:p>
    <w:p w14:paraId="067A390E">
      <w:pPr>
        <w:jc w:val="left"/>
        <w:rPr>
          <w:sz w:val="24"/>
          <w:highlight w:val="none"/>
        </w:rPr>
      </w:pPr>
      <w:r>
        <w:rPr>
          <w:sz w:val="24"/>
          <w:highlight w:val="none"/>
        </w:rPr>
        <w:br w:type="page"/>
      </w:r>
    </w:p>
    <w:p w14:paraId="3F41983E">
      <w:pPr>
        <w:pStyle w:val="20"/>
        <w:jc w:val="center"/>
        <w:rPr>
          <w:highlight w:val="none"/>
        </w:rPr>
      </w:pPr>
      <w:r>
        <w:rPr>
          <w:rFonts w:hint="eastAsia"/>
          <w:sz w:val="36"/>
          <w:highlight w:val="none"/>
        </w:rPr>
        <w:t>二、已标价的工程量清单</w:t>
      </w:r>
    </w:p>
    <w:p w14:paraId="16A88FB8">
      <w:pPr>
        <w:pStyle w:val="157"/>
        <w:spacing w:beforeLines="0" w:line="360" w:lineRule="auto"/>
        <w:ind w:firstLine="470" w:firstLineChars="196"/>
        <w:jc w:val="both"/>
        <w:rPr>
          <w:rFonts w:ascii="Times New Roman" w:hAnsi="Times New Roman" w:cs="Times New Roman"/>
          <w:color w:val="auto"/>
          <w:sz w:val="24"/>
          <w:szCs w:val="24"/>
          <w:highlight w:val="none"/>
        </w:rPr>
      </w:pPr>
      <w:r>
        <w:rPr>
          <w:rFonts w:hint="eastAsia" w:ascii="宋体" w:eastAsia="宋体" w:cs="宋体"/>
          <w:b w:val="0"/>
          <w:bCs w:val="0"/>
          <w:color w:val="auto"/>
          <w:sz w:val="24"/>
          <w:szCs w:val="24"/>
          <w:highlight w:val="none"/>
        </w:rPr>
        <w:t>注意事项：</w:t>
      </w:r>
    </w:p>
    <w:p w14:paraId="66B6DBEE">
      <w:pPr>
        <w:pStyle w:val="157"/>
        <w:spacing w:beforeLines="0" w:line="360" w:lineRule="auto"/>
        <w:ind w:firstLine="470" w:firstLineChars="196"/>
        <w:jc w:val="both"/>
        <w:rPr>
          <w:rFonts w:hint="eastAsia" w:ascii="宋体" w:eastAsia="宋体" w:cs="Times New Roman"/>
          <w:b w:val="0"/>
          <w:bCs w:val="0"/>
          <w:color w:val="auto"/>
          <w:sz w:val="24"/>
          <w:szCs w:val="24"/>
          <w:highlight w:val="none"/>
        </w:rPr>
      </w:pPr>
      <w:r>
        <w:rPr>
          <w:rFonts w:ascii="宋体" w:eastAsia="宋体" w:cs="宋体"/>
          <w:b w:val="0"/>
          <w:bCs w:val="0"/>
          <w:color w:val="auto"/>
          <w:sz w:val="24"/>
          <w:szCs w:val="24"/>
          <w:highlight w:val="none"/>
        </w:rPr>
        <w:t>1</w:t>
      </w:r>
      <w:r>
        <w:rPr>
          <w:rFonts w:hint="eastAsia" w:ascii="宋体" w:eastAsia="宋体" w:cs="宋体"/>
          <w:b w:val="0"/>
          <w:bCs w:val="0"/>
          <w:color w:val="auto"/>
          <w:sz w:val="24"/>
          <w:szCs w:val="24"/>
          <w:highlight w:val="none"/>
        </w:rPr>
        <w:t>、投标人应按照第五章“工程量清单”的要求逐项填报工程量清单，工程量清单应采用电子版文件打印形成，其格式与数据应与电子版文件相一致。</w:t>
      </w:r>
    </w:p>
    <w:p w14:paraId="085DC1EB">
      <w:pPr>
        <w:pStyle w:val="157"/>
        <w:spacing w:beforeLines="0" w:line="360" w:lineRule="auto"/>
        <w:ind w:firstLine="472" w:firstLineChars="196"/>
        <w:jc w:val="both"/>
        <w:rPr>
          <w:rFonts w:hint="eastAsia" w:ascii="宋体" w:eastAsia="宋体" w:cs="Times New Roman"/>
          <w:color w:val="auto"/>
          <w:sz w:val="24"/>
          <w:szCs w:val="24"/>
          <w:highlight w:val="none"/>
        </w:rPr>
      </w:pPr>
      <w:r>
        <w:rPr>
          <w:rFonts w:ascii="宋体" w:eastAsia="宋体" w:cs="宋体"/>
          <w:color w:val="auto"/>
          <w:sz w:val="24"/>
          <w:szCs w:val="24"/>
          <w:highlight w:val="none"/>
        </w:rPr>
        <w:t>2</w:t>
      </w:r>
      <w:r>
        <w:rPr>
          <w:rFonts w:hint="eastAsia" w:ascii="宋体" w:eastAsia="宋体" w:cs="宋体"/>
          <w:color w:val="auto"/>
          <w:sz w:val="24"/>
          <w:szCs w:val="24"/>
          <w:highlight w:val="none"/>
        </w:rPr>
        <w:t>、投标人不允许修改招标人提供的工程量清单的指定价格或指定单价、编号、细目、数量、运算定义等，否则对该投标人的投标文件做否决投标处理。</w:t>
      </w:r>
    </w:p>
    <w:p w14:paraId="6AF8A839">
      <w:pPr>
        <w:pStyle w:val="157"/>
        <w:spacing w:beforeLines="0" w:line="360" w:lineRule="auto"/>
        <w:ind w:firstLine="470" w:firstLineChars="196"/>
        <w:jc w:val="both"/>
        <w:rPr>
          <w:rFonts w:hint="eastAsia" w:ascii="宋体" w:eastAsia="宋体" w:cs="Times New Roman"/>
          <w:b w:val="0"/>
          <w:bCs w:val="0"/>
          <w:color w:val="auto"/>
          <w:sz w:val="24"/>
          <w:szCs w:val="24"/>
          <w:highlight w:val="none"/>
        </w:rPr>
      </w:pPr>
      <w:r>
        <w:rPr>
          <w:rFonts w:ascii="宋体" w:eastAsia="宋体" w:cs="宋体"/>
          <w:b w:val="0"/>
          <w:bCs w:val="0"/>
          <w:color w:val="auto"/>
          <w:sz w:val="24"/>
          <w:szCs w:val="24"/>
          <w:highlight w:val="none"/>
        </w:rPr>
        <w:t>3</w:t>
      </w:r>
      <w:r>
        <w:rPr>
          <w:rFonts w:hint="eastAsia" w:ascii="宋体" w:eastAsia="宋体" w:cs="宋体"/>
          <w:b w:val="0"/>
          <w:bCs w:val="0"/>
          <w:color w:val="auto"/>
          <w:sz w:val="24"/>
          <w:szCs w:val="24"/>
          <w:highlight w:val="none"/>
        </w:rPr>
        <w:t>、投标人发现工程量清单电子文档有数量和运算定义等错误时，请及时向招标人提出，在招标人未修改前，切勿自行修改。</w:t>
      </w:r>
    </w:p>
    <w:p w14:paraId="6040ED3E">
      <w:pPr>
        <w:pStyle w:val="157"/>
        <w:spacing w:beforeLines="0" w:line="360" w:lineRule="auto"/>
        <w:ind w:firstLine="472" w:firstLineChars="196"/>
        <w:jc w:val="both"/>
        <w:rPr>
          <w:rFonts w:hint="eastAsia" w:ascii="宋体" w:eastAsia="宋体" w:cs="Times New Roman"/>
          <w:color w:val="auto"/>
          <w:sz w:val="24"/>
          <w:szCs w:val="24"/>
          <w:highlight w:val="none"/>
        </w:rPr>
      </w:pPr>
      <w:r>
        <w:rPr>
          <w:rFonts w:ascii="宋体" w:eastAsia="宋体" w:cs="宋体"/>
          <w:color w:val="auto"/>
          <w:sz w:val="24"/>
          <w:szCs w:val="24"/>
          <w:highlight w:val="none"/>
        </w:rPr>
        <w:t>4</w:t>
      </w:r>
      <w:r>
        <w:rPr>
          <w:rFonts w:hint="eastAsia" w:ascii="宋体" w:eastAsia="宋体" w:cs="宋体"/>
          <w:color w:val="auto"/>
          <w:sz w:val="24"/>
          <w:szCs w:val="24"/>
          <w:highlight w:val="none"/>
        </w:rPr>
        <w:t>、标价的工程量应采用招标人提供的固化工程量清单填写，禁止采用报价软件自动生成打印或导出。</w:t>
      </w:r>
    </w:p>
    <w:p w14:paraId="237CC97C">
      <w:pPr>
        <w:pStyle w:val="20"/>
        <w:rPr>
          <w:highlight w:val="none"/>
        </w:rPr>
      </w:pPr>
    </w:p>
    <w:sectPr>
      <w:footerReference r:id="rId14" w:type="default"/>
      <w:type w:val="continuous"/>
      <w:pgSz w:w="11905" w:h="16838"/>
      <w:pgMar w:top="1077" w:right="1134" w:bottom="1077" w:left="1134" w:header="850" w:footer="992"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w Cen MT">
    <w:panose1 w:val="020B0602020104020603"/>
    <w:charset w:val="00"/>
    <w:family w:val="swiss"/>
    <w:pitch w:val="default"/>
    <w:sig w:usb0="00000003" w:usb1="00000000" w:usb2="00000000" w:usb3="00000000" w:csb0="20000003"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KNLe">
    <w:altName w:val="Times New Roman"/>
    <w:panose1 w:val="00000000000000000000"/>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文鼎CS长美黑">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Noto Sans CJK JP Regular">
    <w:altName w:val="Arial"/>
    <w:panose1 w:val="00000000000000000000"/>
    <w:charset w:val="00"/>
    <w:family w:val="swiss"/>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Arial Unicode MS">
    <w:altName w:val="宋体"/>
    <w:panose1 w:val="020B0604020202020204"/>
    <w:charset w:val="86"/>
    <w:family w:val="swiss"/>
    <w:pitch w:val="default"/>
    <w:sig w:usb0="00000000" w:usb1="00000000" w:usb2="0000007F" w:usb3="00000000" w:csb0="203F01FF" w:csb1="DFFF0000"/>
  </w:font>
  <w:font w:name="等线">
    <w:panose1 w:val="02010600030101010101"/>
    <w:charset w:val="86"/>
    <w:family w:val="auto"/>
    <w:pitch w:val="default"/>
    <w:sig w:usb0="A00002BF" w:usb1="38CF7CFA" w:usb2="00000016" w:usb3="00000000" w:csb0="0004000F" w:csb1="00000000"/>
  </w:font>
  <w:font w:name="Microsoft JhengHei Light">
    <w:panose1 w:val="020B0304030504040204"/>
    <w:charset w:val="88"/>
    <w:family w:val="swiss"/>
    <w:pitch w:val="default"/>
    <w:sig w:usb0="800002A7" w:usb1="28CF4400" w:usb2="00000016" w:usb3="00000000" w:csb0="00100009" w:csb1="00000000"/>
  </w:font>
  <w:font w:name="Segoe UI Symbol">
    <w:panose1 w:val="020B0502040204020203"/>
    <w:charset w:val="00"/>
    <w:family w:val="swiss"/>
    <w:pitch w:val="default"/>
    <w:sig w:usb0="800001E3" w:usb1="1200FFEF" w:usb2="00040000" w:usb3="04000000" w:csb0="00000001" w:csb1="40000000"/>
  </w:font>
  <w:font w:name="Garamond">
    <w:panose1 w:val="02020404030301010803"/>
    <w:charset w:val="00"/>
    <w:family w:val="roman"/>
    <w:pitch w:val="default"/>
    <w:sig w:usb0="00000287" w:usb1="00000000" w:usb2="00000000" w:usb3="00000000" w:csb0="0000009F" w:csb1="DFD70000"/>
  </w:font>
  <w:font w:name="Cambria Math">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B9E91">
    <w:pPr>
      <w:pStyle w:val="3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94BC57">
                          <w:pPr>
                            <w:pStyle w:val="34"/>
                            <w:jc w:val="center"/>
                          </w:pPr>
                          <w:r>
                            <w:rPr>
                              <w:rStyle w:val="57"/>
                            </w:rPr>
                            <w:fldChar w:fldCharType="begin"/>
                          </w:r>
                          <w:r>
                            <w:rPr>
                              <w:rStyle w:val="57"/>
                            </w:rPr>
                            <w:instrText xml:space="preserve"> PAGE </w:instrText>
                          </w:r>
                          <w:r>
                            <w:rPr>
                              <w:rStyle w:val="57"/>
                            </w:rPr>
                            <w:fldChar w:fldCharType="separate"/>
                          </w:r>
                          <w:r>
                            <w:rPr>
                              <w:rStyle w:val="57"/>
                            </w:rPr>
                            <w:t>7</w:t>
                          </w:r>
                          <w:r>
                            <w:rPr>
                              <w:rStyle w:val="57"/>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94BC57">
                    <w:pPr>
                      <w:pStyle w:val="34"/>
                      <w:jc w:val="center"/>
                    </w:pPr>
                    <w:r>
                      <w:rPr>
                        <w:rStyle w:val="57"/>
                      </w:rPr>
                      <w:fldChar w:fldCharType="begin"/>
                    </w:r>
                    <w:r>
                      <w:rPr>
                        <w:rStyle w:val="57"/>
                      </w:rPr>
                      <w:instrText xml:space="preserve"> PAGE </w:instrText>
                    </w:r>
                    <w:r>
                      <w:rPr>
                        <w:rStyle w:val="57"/>
                      </w:rPr>
                      <w:fldChar w:fldCharType="separate"/>
                    </w:r>
                    <w:r>
                      <w:rPr>
                        <w:rStyle w:val="57"/>
                      </w:rPr>
                      <w:t>7</w:t>
                    </w:r>
                    <w:r>
                      <w:rPr>
                        <w:rStyle w:val="57"/>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841A5">
    <w:pPr>
      <w:pStyle w:val="3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2AEDA0">
                          <w:pPr>
                            <w:pStyle w:val="34"/>
                            <w:jc w:val="center"/>
                          </w:pPr>
                          <w:r>
                            <w:rPr>
                              <w:rStyle w:val="57"/>
                            </w:rPr>
                            <w:fldChar w:fldCharType="begin"/>
                          </w:r>
                          <w:r>
                            <w:rPr>
                              <w:rStyle w:val="57"/>
                            </w:rPr>
                            <w:instrText xml:space="preserve"> PAGE </w:instrText>
                          </w:r>
                          <w:r>
                            <w:rPr>
                              <w:rStyle w:val="57"/>
                            </w:rPr>
                            <w:fldChar w:fldCharType="separate"/>
                          </w:r>
                          <w:r>
                            <w:rPr>
                              <w:rStyle w:val="57"/>
                            </w:rPr>
                            <w:t>7</w:t>
                          </w:r>
                          <w:r>
                            <w:rPr>
                              <w:rStyle w:val="57"/>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E2AEDA0">
                    <w:pPr>
                      <w:pStyle w:val="34"/>
                      <w:jc w:val="center"/>
                    </w:pPr>
                    <w:r>
                      <w:rPr>
                        <w:rStyle w:val="57"/>
                      </w:rPr>
                      <w:fldChar w:fldCharType="begin"/>
                    </w:r>
                    <w:r>
                      <w:rPr>
                        <w:rStyle w:val="57"/>
                      </w:rPr>
                      <w:instrText xml:space="preserve"> PAGE </w:instrText>
                    </w:r>
                    <w:r>
                      <w:rPr>
                        <w:rStyle w:val="57"/>
                      </w:rPr>
                      <w:fldChar w:fldCharType="separate"/>
                    </w:r>
                    <w:r>
                      <w:rPr>
                        <w:rStyle w:val="57"/>
                      </w:rPr>
                      <w:t>7</w:t>
                    </w:r>
                    <w:r>
                      <w:rPr>
                        <w:rStyle w:val="57"/>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65B0E">
    <w:pPr>
      <w:pStyle w:val="3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959218757" name="文本框 1"/>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6350">
                        <a:noFill/>
                      </a:ln>
                      <a:effectLst/>
                    </wps:spPr>
                    <wps:txbx>
                      <w:txbxContent>
                        <w:p w14:paraId="3A72F2B3">
                          <w:pPr>
                            <w:pStyle w:val="34"/>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u8AFjRAAAAAgEAAA8AAAAAAAAAAQAgAAAAIgAAAGRycy9kb3du&#10;cmV2LnhtbFBLAQIUABQAAAAIAIdO4kDhOMqCPwIAAGkEAAAOAAAAAAAAAAEAIAAAACABAABkcnMv&#10;ZTJvRG9jLnhtbFBLBQYAAAAABgAGAFkBAADRBQAAAAA=&#10;">
              <v:fill on="f" focussize="0,0"/>
              <v:stroke on="f" weight="0.5pt"/>
              <v:imagedata o:title=""/>
              <o:lock v:ext="edit" aspectratio="f"/>
              <v:textbox inset="0mm,0mm,0mm,0mm" style="mso-fit-shape-to-text:t;">
                <w:txbxContent>
                  <w:p w14:paraId="3A72F2B3">
                    <w:pPr>
                      <w:pStyle w:val="34"/>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4B6A5">
    <w:pPr>
      <w:spacing w:line="200" w:lineRule="exac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DDB47">
    <w:pPr>
      <w:spacing w:before="7"/>
      <w:ind w:left="2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D4563">
    <w:pPr>
      <w:pStyle w:val="34"/>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6261B">
    <w:pPr>
      <w:pStyle w:val="3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C83B1">
    <w:pPr>
      <w:pStyle w:val="34"/>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41A9F">
                          <w:pPr>
                            <w:pStyle w:val="34"/>
                            <w:jc w:val="center"/>
                          </w:pPr>
                          <w:r>
                            <w:rPr>
                              <w:rStyle w:val="57"/>
                            </w:rPr>
                            <w:fldChar w:fldCharType="begin"/>
                          </w:r>
                          <w:r>
                            <w:rPr>
                              <w:rStyle w:val="57"/>
                            </w:rPr>
                            <w:instrText xml:space="preserve"> PAGE </w:instrText>
                          </w:r>
                          <w:r>
                            <w:rPr>
                              <w:rStyle w:val="57"/>
                            </w:rPr>
                            <w:fldChar w:fldCharType="separate"/>
                          </w:r>
                          <w:r>
                            <w:rPr>
                              <w:rStyle w:val="57"/>
                            </w:rPr>
                            <w:t>95</w:t>
                          </w:r>
                          <w:r>
                            <w:rPr>
                              <w:rStyle w:val="57"/>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7141A9F">
                    <w:pPr>
                      <w:pStyle w:val="34"/>
                      <w:jc w:val="center"/>
                    </w:pPr>
                    <w:r>
                      <w:rPr>
                        <w:rStyle w:val="57"/>
                      </w:rPr>
                      <w:fldChar w:fldCharType="begin"/>
                    </w:r>
                    <w:r>
                      <w:rPr>
                        <w:rStyle w:val="57"/>
                      </w:rPr>
                      <w:instrText xml:space="preserve"> PAGE </w:instrText>
                    </w:r>
                    <w:r>
                      <w:rPr>
                        <w:rStyle w:val="57"/>
                      </w:rPr>
                      <w:fldChar w:fldCharType="separate"/>
                    </w:r>
                    <w:r>
                      <w:rPr>
                        <w:rStyle w:val="57"/>
                      </w:rPr>
                      <w:t>95</w:t>
                    </w:r>
                    <w:r>
                      <w:rPr>
                        <w:rStyle w:val="57"/>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89B42">
    <w:pPr>
      <w:pStyle w:val="34"/>
      <w:jc w:val="center"/>
      <w:rPr>
        <w:lang w:val="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7C6E6F">
                          <w:pPr>
                            <w:pStyle w:val="34"/>
                            <w:jc w:val="center"/>
                          </w:pPr>
                          <w:r>
                            <w:fldChar w:fldCharType="begin"/>
                          </w:r>
                          <w:r>
                            <w:instrText xml:space="preserve">PAGE   \* MERGEFORMAT</w:instrText>
                          </w:r>
                          <w:r>
                            <w:fldChar w:fldCharType="separate"/>
                          </w:r>
                          <w:r>
                            <w:rPr>
                              <w:lang w:val="zh-CN"/>
                            </w:rPr>
                            <w:t>98</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77C6E6F">
                    <w:pPr>
                      <w:pStyle w:val="34"/>
                      <w:jc w:val="center"/>
                    </w:pPr>
                    <w:r>
                      <w:fldChar w:fldCharType="begin"/>
                    </w:r>
                    <w:r>
                      <w:instrText xml:space="preserve">PAGE   \* MERGEFORMAT</w:instrText>
                    </w:r>
                    <w:r>
                      <w:fldChar w:fldCharType="separate"/>
                    </w:r>
                    <w:r>
                      <w:rPr>
                        <w:lang w:val="zh-CN"/>
                      </w:rPr>
                      <w:t>98</w:t>
                    </w:r>
                    <w:r>
                      <w:rPr>
                        <w:lang w:val="zh-CN"/>
                      </w:rPr>
                      <w:fldChar w:fldCharType="end"/>
                    </w:r>
                  </w:p>
                </w:txbxContent>
              </v:textbox>
            </v:shape>
          </w:pict>
        </mc:Fallback>
      </mc:AlternateContent>
    </w:r>
  </w:p>
  <w:p w14:paraId="192B9AF8">
    <w:pPr>
      <w:pStyle w:val="34"/>
      <w:jc w:val="center"/>
      <w:rPr>
        <w:lang w:val="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84B8C">
    <w:pPr>
      <w:pStyle w:val="3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E3DF7">
    <w:pPr>
      <w:pStyle w:val="35"/>
      <w:pBdr>
        <w:bottom w:val="none" w:color="auto" w:sz="0" w:space="0"/>
      </w:pBd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CF1B8">
    <w:pPr>
      <w:pStyle w:val="3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CFB3E"/>
    <w:multiLevelType w:val="singleLevel"/>
    <w:tmpl w:val="94ECFB3E"/>
    <w:lvl w:ilvl="0" w:tentative="0">
      <w:start w:val="1"/>
      <w:numFmt w:val="decimal"/>
      <w:suff w:val="nothing"/>
      <w:lvlText w:val="%1、"/>
      <w:lvlJc w:val="left"/>
    </w:lvl>
  </w:abstractNum>
  <w:abstractNum w:abstractNumId="1">
    <w:nsid w:val="74800A27"/>
    <w:multiLevelType w:val="singleLevel"/>
    <w:tmpl w:val="74800A27"/>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kODg0NjgxNmM0NGJhZmU2YjFjZDliYjVhYWJiMTUifQ=="/>
  </w:docVars>
  <w:rsids>
    <w:rsidRoot w:val="00172A27"/>
    <w:rsid w:val="00000159"/>
    <w:rsid w:val="00000181"/>
    <w:rsid w:val="00000A30"/>
    <w:rsid w:val="00000A4A"/>
    <w:rsid w:val="00000E46"/>
    <w:rsid w:val="0000149A"/>
    <w:rsid w:val="0000154F"/>
    <w:rsid w:val="0000209F"/>
    <w:rsid w:val="00003034"/>
    <w:rsid w:val="00003FFE"/>
    <w:rsid w:val="0000495A"/>
    <w:rsid w:val="00004EB3"/>
    <w:rsid w:val="00004F70"/>
    <w:rsid w:val="00005598"/>
    <w:rsid w:val="00005649"/>
    <w:rsid w:val="00005CAD"/>
    <w:rsid w:val="00005DE9"/>
    <w:rsid w:val="0000617C"/>
    <w:rsid w:val="00007C20"/>
    <w:rsid w:val="00007D89"/>
    <w:rsid w:val="000100A9"/>
    <w:rsid w:val="00010E14"/>
    <w:rsid w:val="00011076"/>
    <w:rsid w:val="0001155C"/>
    <w:rsid w:val="00011644"/>
    <w:rsid w:val="00011CAB"/>
    <w:rsid w:val="00011DD3"/>
    <w:rsid w:val="00011EBE"/>
    <w:rsid w:val="00012197"/>
    <w:rsid w:val="00012AF8"/>
    <w:rsid w:val="000135AD"/>
    <w:rsid w:val="000143DD"/>
    <w:rsid w:val="00014437"/>
    <w:rsid w:val="00014C19"/>
    <w:rsid w:val="00014CA0"/>
    <w:rsid w:val="00014EDF"/>
    <w:rsid w:val="00014F88"/>
    <w:rsid w:val="00015A06"/>
    <w:rsid w:val="00015DA4"/>
    <w:rsid w:val="00016BA2"/>
    <w:rsid w:val="00017722"/>
    <w:rsid w:val="00017CD2"/>
    <w:rsid w:val="00020064"/>
    <w:rsid w:val="00020501"/>
    <w:rsid w:val="00020F92"/>
    <w:rsid w:val="00021B4D"/>
    <w:rsid w:val="00021BBD"/>
    <w:rsid w:val="00021C64"/>
    <w:rsid w:val="00021C6A"/>
    <w:rsid w:val="000226D7"/>
    <w:rsid w:val="000227E7"/>
    <w:rsid w:val="00022FEF"/>
    <w:rsid w:val="00023252"/>
    <w:rsid w:val="000232BA"/>
    <w:rsid w:val="000237AD"/>
    <w:rsid w:val="0002417A"/>
    <w:rsid w:val="000243F4"/>
    <w:rsid w:val="00024576"/>
    <w:rsid w:val="00024E63"/>
    <w:rsid w:val="00025510"/>
    <w:rsid w:val="0002566C"/>
    <w:rsid w:val="00025CDA"/>
    <w:rsid w:val="0002657A"/>
    <w:rsid w:val="00026979"/>
    <w:rsid w:val="00026D72"/>
    <w:rsid w:val="0002722D"/>
    <w:rsid w:val="000279EA"/>
    <w:rsid w:val="00027AEA"/>
    <w:rsid w:val="00027AF2"/>
    <w:rsid w:val="00027E69"/>
    <w:rsid w:val="00030270"/>
    <w:rsid w:val="00030330"/>
    <w:rsid w:val="00030648"/>
    <w:rsid w:val="00031390"/>
    <w:rsid w:val="00031B73"/>
    <w:rsid w:val="00032DB1"/>
    <w:rsid w:val="00032DE3"/>
    <w:rsid w:val="00033417"/>
    <w:rsid w:val="00033671"/>
    <w:rsid w:val="000342AE"/>
    <w:rsid w:val="00034894"/>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604"/>
    <w:rsid w:val="000429DA"/>
    <w:rsid w:val="000432F5"/>
    <w:rsid w:val="00043672"/>
    <w:rsid w:val="000436F0"/>
    <w:rsid w:val="00043804"/>
    <w:rsid w:val="00043AE0"/>
    <w:rsid w:val="00043CFB"/>
    <w:rsid w:val="00043FDA"/>
    <w:rsid w:val="0004464A"/>
    <w:rsid w:val="000455B5"/>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CDF"/>
    <w:rsid w:val="00053E13"/>
    <w:rsid w:val="00053EC0"/>
    <w:rsid w:val="000549A7"/>
    <w:rsid w:val="00054B73"/>
    <w:rsid w:val="0005654F"/>
    <w:rsid w:val="0005690C"/>
    <w:rsid w:val="00057B47"/>
    <w:rsid w:val="00057C1F"/>
    <w:rsid w:val="00057C2C"/>
    <w:rsid w:val="00057C3C"/>
    <w:rsid w:val="0006073A"/>
    <w:rsid w:val="00060872"/>
    <w:rsid w:val="000608D1"/>
    <w:rsid w:val="00060C2E"/>
    <w:rsid w:val="000611C7"/>
    <w:rsid w:val="00061D22"/>
    <w:rsid w:val="0006240E"/>
    <w:rsid w:val="0006259B"/>
    <w:rsid w:val="0006268A"/>
    <w:rsid w:val="000628BD"/>
    <w:rsid w:val="00062EAB"/>
    <w:rsid w:val="00063AC0"/>
    <w:rsid w:val="00064610"/>
    <w:rsid w:val="0006464A"/>
    <w:rsid w:val="000649B8"/>
    <w:rsid w:val="000652B6"/>
    <w:rsid w:val="00065328"/>
    <w:rsid w:val="000659EB"/>
    <w:rsid w:val="00065A6B"/>
    <w:rsid w:val="00065EFD"/>
    <w:rsid w:val="000667BA"/>
    <w:rsid w:val="000667CB"/>
    <w:rsid w:val="00066A32"/>
    <w:rsid w:val="00070195"/>
    <w:rsid w:val="0007061A"/>
    <w:rsid w:val="00070F6C"/>
    <w:rsid w:val="000712B3"/>
    <w:rsid w:val="000716AA"/>
    <w:rsid w:val="00072A0F"/>
    <w:rsid w:val="00074313"/>
    <w:rsid w:val="00074557"/>
    <w:rsid w:val="00074881"/>
    <w:rsid w:val="00074A6F"/>
    <w:rsid w:val="000759EA"/>
    <w:rsid w:val="00075CF8"/>
    <w:rsid w:val="000770D6"/>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5B4"/>
    <w:rsid w:val="00087334"/>
    <w:rsid w:val="00087450"/>
    <w:rsid w:val="000874BD"/>
    <w:rsid w:val="00087C61"/>
    <w:rsid w:val="00087F7E"/>
    <w:rsid w:val="0009055E"/>
    <w:rsid w:val="000906AA"/>
    <w:rsid w:val="000906D5"/>
    <w:rsid w:val="00090B93"/>
    <w:rsid w:val="000911A0"/>
    <w:rsid w:val="000914A2"/>
    <w:rsid w:val="00091623"/>
    <w:rsid w:val="00091942"/>
    <w:rsid w:val="00091DDD"/>
    <w:rsid w:val="000923A0"/>
    <w:rsid w:val="000927FB"/>
    <w:rsid w:val="00092A27"/>
    <w:rsid w:val="000933D4"/>
    <w:rsid w:val="000934FE"/>
    <w:rsid w:val="00093B24"/>
    <w:rsid w:val="00094122"/>
    <w:rsid w:val="000946E2"/>
    <w:rsid w:val="00094768"/>
    <w:rsid w:val="00094A75"/>
    <w:rsid w:val="00094D81"/>
    <w:rsid w:val="0009513C"/>
    <w:rsid w:val="00095359"/>
    <w:rsid w:val="000954EC"/>
    <w:rsid w:val="00095843"/>
    <w:rsid w:val="00095DE5"/>
    <w:rsid w:val="00096027"/>
    <w:rsid w:val="0009686D"/>
    <w:rsid w:val="00096909"/>
    <w:rsid w:val="00096B4E"/>
    <w:rsid w:val="00096E9E"/>
    <w:rsid w:val="00096FDF"/>
    <w:rsid w:val="00097200"/>
    <w:rsid w:val="00097A3F"/>
    <w:rsid w:val="00097B48"/>
    <w:rsid w:val="000A00E2"/>
    <w:rsid w:val="000A029F"/>
    <w:rsid w:val="000A02E7"/>
    <w:rsid w:val="000A04C5"/>
    <w:rsid w:val="000A14FE"/>
    <w:rsid w:val="000A15D4"/>
    <w:rsid w:val="000A198A"/>
    <w:rsid w:val="000A201B"/>
    <w:rsid w:val="000A2AC5"/>
    <w:rsid w:val="000A2E1A"/>
    <w:rsid w:val="000A3445"/>
    <w:rsid w:val="000A43F1"/>
    <w:rsid w:val="000A48BB"/>
    <w:rsid w:val="000A53C1"/>
    <w:rsid w:val="000A573C"/>
    <w:rsid w:val="000A5AA3"/>
    <w:rsid w:val="000A61A4"/>
    <w:rsid w:val="000A6704"/>
    <w:rsid w:val="000A6B29"/>
    <w:rsid w:val="000A74C0"/>
    <w:rsid w:val="000A7652"/>
    <w:rsid w:val="000A7781"/>
    <w:rsid w:val="000B07B3"/>
    <w:rsid w:val="000B1C61"/>
    <w:rsid w:val="000B1D9E"/>
    <w:rsid w:val="000B269E"/>
    <w:rsid w:val="000B3EA2"/>
    <w:rsid w:val="000B5179"/>
    <w:rsid w:val="000B527D"/>
    <w:rsid w:val="000B6105"/>
    <w:rsid w:val="000B6288"/>
    <w:rsid w:val="000B6298"/>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4B0"/>
    <w:rsid w:val="000C5573"/>
    <w:rsid w:val="000C5702"/>
    <w:rsid w:val="000C5876"/>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D57"/>
    <w:rsid w:val="000D1FC9"/>
    <w:rsid w:val="000D29F5"/>
    <w:rsid w:val="000D2CF7"/>
    <w:rsid w:val="000D3014"/>
    <w:rsid w:val="000D35AE"/>
    <w:rsid w:val="000D3C6D"/>
    <w:rsid w:val="000D3E30"/>
    <w:rsid w:val="000D4266"/>
    <w:rsid w:val="000D4283"/>
    <w:rsid w:val="000D4376"/>
    <w:rsid w:val="000D5557"/>
    <w:rsid w:val="000D56DF"/>
    <w:rsid w:val="000D5B98"/>
    <w:rsid w:val="000D6779"/>
    <w:rsid w:val="000D6A72"/>
    <w:rsid w:val="000D6ED0"/>
    <w:rsid w:val="000D73EF"/>
    <w:rsid w:val="000D7A16"/>
    <w:rsid w:val="000E05EC"/>
    <w:rsid w:val="000E15E4"/>
    <w:rsid w:val="000E1945"/>
    <w:rsid w:val="000E244F"/>
    <w:rsid w:val="000E2D8F"/>
    <w:rsid w:val="000E2EE9"/>
    <w:rsid w:val="000E3065"/>
    <w:rsid w:val="000E347D"/>
    <w:rsid w:val="000E378D"/>
    <w:rsid w:val="000E3C52"/>
    <w:rsid w:val="000E4037"/>
    <w:rsid w:val="000E4540"/>
    <w:rsid w:val="000E479E"/>
    <w:rsid w:val="000E4915"/>
    <w:rsid w:val="000E4FEA"/>
    <w:rsid w:val="000E528E"/>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022"/>
    <w:rsid w:val="000F4158"/>
    <w:rsid w:val="000F4256"/>
    <w:rsid w:val="000F44EA"/>
    <w:rsid w:val="000F4D50"/>
    <w:rsid w:val="000F51F9"/>
    <w:rsid w:val="000F52F9"/>
    <w:rsid w:val="000F5688"/>
    <w:rsid w:val="000F6ECE"/>
    <w:rsid w:val="000F766E"/>
    <w:rsid w:val="001004AE"/>
    <w:rsid w:val="001006CD"/>
    <w:rsid w:val="00100A86"/>
    <w:rsid w:val="00100AB7"/>
    <w:rsid w:val="00100D83"/>
    <w:rsid w:val="00100E60"/>
    <w:rsid w:val="00101271"/>
    <w:rsid w:val="0010144C"/>
    <w:rsid w:val="00101B0A"/>
    <w:rsid w:val="00101B3E"/>
    <w:rsid w:val="0010218E"/>
    <w:rsid w:val="001023E9"/>
    <w:rsid w:val="00102734"/>
    <w:rsid w:val="00102A5C"/>
    <w:rsid w:val="00102B04"/>
    <w:rsid w:val="00103917"/>
    <w:rsid w:val="00103C6B"/>
    <w:rsid w:val="00103C87"/>
    <w:rsid w:val="00103E20"/>
    <w:rsid w:val="00105249"/>
    <w:rsid w:val="00105447"/>
    <w:rsid w:val="001057EA"/>
    <w:rsid w:val="00105FEF"/>
    <w:rsid w:val="00106904"/>
    <w:rsid w:val="001069A3"/>
    <w:rsid w:val="00106A18"/>
    <w:rsid w:val="00107489"/>
    <w:rsid w:val="001105F7"/>
    <w:rsid w:val="00110B1C"/>
    <w:rsid w:val="001114F3"/>
    <w:rsid w:val="00111A40"/>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836"/>
    <w:rsid w:val="0011794E"/>
    <w:rsid w:val="001203AF"/>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527"/>
    <w:rsid w:val="00134848"/>
    <w:rsid w:val="00134D71"/>
    <w:rsid w:val="00134F77"/>
    <w:rsid w:val="00136299"/>
    <w:rsid w:val="00136731"/>
    <w:rsid w:val="00136D0F"/>
    <w:rsid w:val="00137331"/>
    <w:rsid w:val="00137AB8"/>
    <w:rsid w:val="00137EF9"/>
    <w:rsid w:val="00137FC0"/>
    <w:rsid w:val="00140110"/>
    <w:rsid w:val="00140525"/>
    <w:rsid w:val="00141A63"/>
    <w:rsid w:val="001424CD"/>
    <w:rsid w:val="00142B7E"/>
    <w:rsid w:val="00143069"/>
    <w:rsid w:val="001430C2"/>
    <w:rsid w:val="00143366"/>
    <w:rsid w:val="0014346D"/>
    <w:rsid w:val="001435A6"/>
    <w:rsid w:val="00143AF2"/>
    <w:rsid w:val="00143F34"/>
    <w:rsid w:val="0014443C"/>
    <w:rsid w:val="00144F3B"/>
    <w:rsid w:val="001450FB"/>
    <w:rsid w:val="00145265"/>
    <w:rsid w:val="0014557B"/>
    <w:rsid w:val="0014568E"/>
    <w:rsid w:val="00146119"/>
    <w:rsid w:val="001461C5"/>
    <w:rsid w:val="001462D1"/>
    <w:rsid w:val="00146B10"/>
    <w:rsid w:val="001472F9"/>
    <w:rsid w:val="00147696"/>
    <w:rsid w:val="00147915"/>
    <w:rsid w:val="00147FE9"/>
    <w:rsid w:val="0015087B"/>
    <w:rsid w:val="00150AF6"/>
    <w:rsid w:val="00150B59"/>
    <w:rsid w:val="001524FE"/>
    <w:rsid w:val="0015358E"/>
    <w:rsid w:val="001537FB"/>
    <w:rsid w:val="00153C34"/>
    <w:rsid w:val="00153D9D"/>
    <w:rsid w:val="001541BA"/>
    <w:rsid w:val="00154C3B"/>
    <w:rsid w:val="00154C57"/>
    <w:rsid w:val="00155E6E"/>
    <w:rsid w:val="001568EE"/>
    <w:rsid w:val="00157252"/>
    <w:rsid w:val="00157260"/>
    <w:rsid w:val="001574E1"/>
    <w:rsid w:val="00157510"/>
    <w:rsid w:val="00157785"/>
    <w:rsid w:val="00157EB0"/>
    <w:rsid w:val="0016025C"/>
    <w:rsid w:val="00160728"/>
    <w:rsid w:val="00160B2C"/>
    <w:rsid w:val="00160DB7"/>
    <w:rsid w:val="00161791"/>
    <w:rsid w:val="001617DA"/>
    <w:rsid w:val="00161A09"/>
    <w:rsid w:val="00161FB1"/>
    <w:rsid w:val="001622F7"/>
    <w:rsid w:val="00162944"/>
    <w:rsid w:val="00162B38"/>
    <w:rsid w:val="00162C04"/>
    <w:rsid w:val="00163AAD"/>
    <w:rsid w:val="0016585F"/>
    <w:rsid w:val="00165996"/>
    <w:rsid w:val="00165A72"/>
    <w:rsid w:val="00165D73"/>
    <w:rsid w:val="00165DFE"/>
    <w:rsid w:val="0016621F"/>
    <w:rsid w:val="0016623C"/>
    <w:rsid w:val="00166399"/>
    <w:rsid w:val="00166953"/>
    <w:rsid w:val="00166A2E"/>
    <w:rsid w:val="00166A67"/>
    <w:rsid w:val="00167646"/>
    <w:rsid w:val="00167950"/>
    <w:rsid w:val="001679F5"/>
    <w:rsid w:val="00167D43"/>
    <w:rsid w:val="001706E9"/>
    <w:rsid w:val="001712F9"/>
    <w:rsid w:val="00172757"/>
    <w:rsid w:val="00172A1B"/>
    <w:rsid w:val="00172A27"/>
    <w:rsid w:val="00172C6D"/>
    <w:rsid w:val="00172DCD"/>
    <w:rsid w:val="00173149"/>
    <w:rsid w:val="00173186"/>
    <w:rsid w:val="00173813"/>
    <w:rsid w:val="00173CD0"/>
    <w:rsid w:val="00173FEB"/>
    <w:rsid w:val="00174C1B"/>
    <w:rsid w:val="00175CB0"/>
    <w:rsid w:val="00175F8B"/>
    <w:rsid w:val="00176243"/>
    <w:rsid w:val="001762AD"/>
    <w:rsid w:val="001763BD"/>
    <w:rsid w:val="001764B9"/>
    <w:rsid w:val="00176541"/>
    <w:rsid w:val="00176677"/>
    <w:rsid w:val="00176AF7"/>
    <w:rsid w:val="00176E8C"/>
    <w:rsid w:val="00176FA9"/>
    <w:rsid w:val="00177180"/>
    <w:rsid w:val="0017751F"/>
    <w:rsid w:val="00177866"/>
    <w:rsid w:val="001778F5"/>
    <w:rsid w:val="00180863"/>
    <w:rsid w:val="001809FF"/>
    <w:rsid w:val="00181336"/>
    <w:rsid w:val="00182E23"/>
    <w:rsid w:val="00183158"/>
    <w:rsid w:val="001831A9"/>
    <w:rsid w:val="001838DE"/>
    <w:rsid w:val="00183BA0"/>
    <w:rsid w:val="00183FDE"/>
    <w:rsid w:val="001844A7"/>
    <w:rsid w:val="00184717"/>
    <w:rsid w:val="001848D4"/>
    <w:rsid w:val="001849E9"/>
    <w:rsid w:val="00185093"/>
    <w:rsid w:val="001850C1"/>
    <w:rsid w:val="00185740"/>
    <w:rsid w:val="00185884"/>
    <w:rsid w:val="00185C80"/>
    <w:rsid w:val="00185D06"/>
    <w:rsid w:val="00186DD3"/>
    <w:rsid w:val="001871C6"/>
    <w:rsid w:val="00187489"/>
    <w:rsid w:val="001876E7"/>
    <w:rsid w:val="00187ACB"/>
    <w:rsid w:val="001909E7"/>
    <w:rsid w:val="00191236"/>
    <w:rsid w:val="00191727"/>
    <w:rsid w:val="00191894"/>
    <w:rsid w:val="00191934"/>
    <w:rsid w:val="00191D50"/>
    <w:rsid w:val="00191DEF"/>
    <w:rsid w:val="00192594"/>
    <w:rsid w:val="001926E6"/>
    <w:rsid w:val="001928B9"/>
    <w:rsid w:val="00192CDC"/>
    <w:rsid w:val="00193096"/>
    <w:rsid w:val="00193494"/>
    <w:rsid w:val="00193DB5"/>
    <w:rsid w:val="00193E7B"/>
    <w:rsid w:val="00193EC5"/>
    <w:rsid w:val="00193EF8"/>
    <w:rsid w:val="001941AF"/>
    <w:rsid w:val="001941D2"/>
    <w:rsid w:val="001941E5"/>
    <w:rsid w:val="001945EF"/>
    <w:rsid w:val="001948AE"/>
    <w:rsid w:val="00194A88"/>
    <w:rsid w:val="001957B3"/>
    <w:rsid w:val="00195802"/>
    <w:rsid w:val="00195875"/>
    <w:rsid w:val="00195A6D"/>
    <w:rsid w:val="00195E08"/>
    <w:rsid w:val="00195FBA"/>
    <w:rsid w:val="00196271"/>
    <w:rsid w:val="001969AE"/>
    <w:rsid w:val="00196C95"/>
    <w:rsid w:val="00196E67"/>
    <w:rsid w:val="00197132"/>
    <w:rsid w:val="001973C6"/>
    <w:rsid w:val="001975BF"/>
    <w:rsid w:val="00197E28"/>
    <w:rsid w:val="001A021A"/>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54F"/>
    <w:rsid w:val="001A36D3"/>
    <w:rsid w:val="001A3BD9"/>
    <w:rsid w:val="001A3CEF"/>
    <w:rsid w:val="001A412F"/>
    <w:rsid w:val="001A47E9"/>
    <w:rsid w:val="001A4D6A"/>
    <w:rsid w:val="001A55AF"/>
    <w:rsid w:val="001A5DBB"/>
    <w:rsid w:val="001A664A"/>
    <w:rsid w:val="001A6759"/>
    <w:rsid w:val="001A6C17"/>
    <w:rsid w:val="001A6CA2"/>
    <w:rsid w:val="001A6D06"/>
    <w:rsid w:val="001A6EB3"/>
    <w:rsid w:val="001A7DC0"/>
    <w:rsid w:val="001B07C2"/>
    <w:rsid w:val="001B0FEF"/>
    <w:rsid w:val="001B12F7"/>
    <w:rsid w:val="001B147F"/>
    <w:rsid w:val="001B15D5"/>
    <w:rsid w:val="001B1AAD"/>
    <w:rsid w:val="001B1E7C"/>
    <w:rsid w:val="001B206A"/>
    <w:rsid w:val="001B2A63"/>
    <w:rsid w:val="001B3550"/>
    <w:rsid w:val="001B3891"/>
    <w:rsid w:val="001B3A01"/>
    <w:rsid w:val="001B3F8E"/>
    <w:rsid w:val="001B3FAB"/>
    <w:rsid w:val="001B449C"/>
    <w:rsid w:val="001B4887"/>
    <w:rsid w:val="001B49D2"/>
    <w:rsid w:val="001B4F0A"/>
    <w:rsid w:val="001B4F46"/>
    <w:rsid w:val="001B50EC"/>
    <w:rsid w:val="001B5784"/>
    <w:rsid w:val="001B6258"/>
    <w:rsid w:val="001B649C"/>
    <w:rsid w:val="001B68D9"/>
    <w:rsid w:val="001B775D"/>
    <w:rsid w:val="001B79BF"/>
    <w:rsid w:val="001B7AF3"/>
    <w:rsid w:val="001C06C3"/>
    <w:rsid w:val="001C0A8F"/>
    <w:rsid w:val="001C0C30"/>
    <w:rsid w:val="001C0C48"/>
    <w:rsid w:val="001C1489"/>
    <w:rsid w:val="001C18CA"/>
    <w:rsid w:val="001C1A69"/>
    <w:rsid w:val="001C2042"/>
    <w:rsid w:val="001C26B7"/>
    <w:rsid w:val="001C2867"/>
    <w:rsid w:val="001C28A5"/>
    <w:rsid w:val="001C2981"/>
    <w:rsid w:val="001C2B97"/>
    <w:rsid w:val="001C2BC3"/>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CFA"/>
    <w:rsid w:val="001D2D20"/>
    <w:rsid w:val="001D2E13"/>
    <w:rsid w:val="001D3257"/>
    <w:rsid w:val="001D326A"/>
    <w:rsid w:val="001D35C1"/>
    <w:rsid w:val="001D3981"/>
    <w:rsid w:val="001D447B"/>
    <w:rsid w:val="001D4696"/>
    <w:rsid w:val="001D4769"/>
    <w:rsid w:val="001D556C"/>
    <w:rsid w:val="001D6624"/>
    <w:rsid w:val="001D6946"/>
    <w:rsid w:val="001D6E53"/>
    <w:rsid w:val="001D7253"/>
    <w:rsid w:val="001D7E83"/>
    <w:rsid w:val="001E030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2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C24"/>
    <w:rsid w:val="001F22BB"/>
    <w:rsid w:val="001F249D"/>
    <w:rsid w:val="001F2C89"/>
    <w:rsid w:val="001F37A5"/>
    <w:rsid w:val="001F396B"/>
    <w:rsid w:val="001F3BD0"/>
    <w:rsid w:val="001F3EC5"/>
    <w:rsid w:val="001F447C"/>
    <w:rsid w:val="001F448E"/>
    <w:rsid w:val="001F463D"/>
    <w:rsid w:val="001F4BD7"/>
    <w:rsid w:val="001F4C62"/>
    <w:rsid w:val="001F4D59"/>
    <w:rsid w:val="001F5926"/>
    <w:rsid w:val="001F5B14"/>
    <w:rsid w:val="001F5DE1"/>
    <w:rsid w:val="001F6568"/>
    <w:rsid w:val="001F6B9F"/>
    <w:rsid w:val="001F6C95"/>
    <w:rsid w:val="001F6DA5"/>
    <w:rsid w:val="001F75BB"/>
    <w:rsid w:val="001F7B8E"/>
    <w:rsid w:val="00200034"/>
    <w:rsid w:val="00200287"/>
    <w:rsid w:val="0020057F"/>
    <w:rsid w:val="002005CA"/>
    <w:rsid w:val="00200826"/>
    <w:rsid w:val="00200833"/>
    <w:rsid w:val="00200A4D"/>
    <w:rsid w:val="0020134B"/>
    <w:rsid w:val="0020261F"/>
    <w:rsid w:val="00203112"/>
    <w:rsid w:val="00203382"/>
    <w:rsid w:val="00203A60"/>
    <w:rsid w:val="00203FC4"/>
    <w:rsid w:val="002044CB"/>
    <w:rsid w:val="002045F6"/>
    <w:rsid w:val="00204944"/>
    <w:rsid w:val="002049B8"/>
    <w:rsid w:val="00204DBA"/>
    <w:rsid w:val="00206116"/>
    <w:rsid w:val="00206594"/>
    <w:rsid w:val="002076C9"/>
    <w:rsid w:val="00207731"/>
    <w:rsid w:val="00207DEA"/>
    <w:rsid w:val="00210228"/>
    <w:rsid w:val="002102CB"/>
    <w:rsid w:val="002103B3"/>
    <w:rsid w:val="002117D1"/>
    <w:rsid w:val="00211B64"/>
    <w:rsid w:val="00211FC6"/>
    <w:rsid w:val="00212FD7"/>
    <w:rsid w:val="002139E2"/>
    <w:rsid w:val="00214D58"/>
    <w:rsid w:val="00214D60"/>
    <w:rsid w:val="00214EB8"/>
    <w:rsid w:val="0021504D"/>
    <w:rsid w:val="002150C6"/>
    <w:rsid w:val="0021598C"/>
    <w:rsid w:val="002164B5"/>
    <w:rsid w:val="00216CB2"/>
    <w:rsid w:val="002173BB"/>
    <w:rsid w:val="0021741D"/>
    <w:rsid w:val="00217683"/>
    <w:rsid w:val="002201BE"/>
    <w:rsid w:val="002204E1"/>
    <w:rsid w:val="002207E3"/>
    <w:rsid w:val="0022088E"/>
    <w:rsid w:val="00221462"/>
    <w:rsid w:val="002216E5"/>
    <w:rsid w:val="0022220A"/>
    <w:rsid w:val="0022234D"/>
    <w:rsid w:val="002227D8"/>
    <w:rsid w:val="0022283C"/>
    <w:rsid w:val="00222D73"/>
    <w:rsid w:val="00222E82"/>
    <w:rsid w:val="002230F0"/>
    <w:rsid w:val="00223AD6"/>
    <w:rsid w:val="00223BAC"/>
    <w:rsid w:val="00223D6F"/>
    <w:rsid w:val="00224242"/>
    <w:rsid w:val="00224297"/>
    <w:rsid w:val="002242BA"/>
    <w:rsid w:val="00224AF4"/>
    <w:rsid w:val="0022515F"/>
    <w:rsid w:val="002255EE"/>
    <w:rsid w:val="0022568D"/>
    <w:rsid w:val="002259AF"/>
    <w:rsid w:val="00225D67"/>
    <w:rsid w:val="00225E82"/>
    <w:rsid w:val="00225F9E"/>
    <w:rsid w:val="002261BF"/>
    <w:rsid w:val="002263AD"/>
    <w:rsid w:val="002263F6"/>
    <w:rsid w:val="0022658B"/>
    <w:rsid w:val="00226A36"/>
    <w:rsid w:val="00226C57"/>
    <w:rsid w:val="00226CD6"/>
    <w:rsid w:val="00226F1D"/>
    <w:rsid w:val="002278F8"/>
    <w:rsid w:val="00227E07"/>
    <w:rsid w:val="002301DD"/>
    <w:rsid w:val="0023022F"/>
    <w:rsid w:val="00230575"/>
    <w:rsid w:val="00230EF7"/>
    <w:rsid w:val="00231295"/>
    <w:rsid w:val="00231B73"/>
    <w:rsid w:val="00233472"/>
    <w:rsid w:val="00233B86"/>
    <w:rsid w:val="00233E4A"/>
    <w:rsid w:val="002340BE"/>
    <w:rsid w:val="002342CE"/>
    <w:rsid w:val="0023534C"/>
    <w:rsid w:val="0023566A"/>
    <w:rsid w:val="00235D0C"/>
    <w:rsid w:val="002365E3"/>
    <w:rsid w:val="00236A15"/>
    <w:rsid w:val="00237037"/>
    <w:rsid w:val="00240068"/>
    <w:rsid w:val="0024022A"/>
    <w:rsid w:val="002405C0"/>
    <w:rsid w:val="0024060F"/>
    <w:rsid w:val="00241AD3"/>
    <w:rsid w:val="002421DC"/>
    <w:rsid w:val="002421E4"/>
    <w:rsid w:val="002423D5"/>
    <w:rsid w:val="002426F3"/>
    <w:rsid w:val="0024279A"/>
    <w:rsid w:val="00242A78"/>
    <w:rsid w:val="00242CE8"/>
    <w:rsid w:val="00243015"/>
    <w:rsid w:val="00243B33"/>
    <w:rsid w:val="00243D2E"/>
    <w:rsid w:val="00244055"/>
    <w:rsid w:val="00244C28"/>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F6A"/>
    <w:rsid w:val="00247FB8"/>
    <w:rsid w:val="0025081F"/>
    <w:rsid w:val="00250AD2"/>
    <w:rsid w:val="00251379"/>
    <w:rsid w:val="00251445"/>
    <w:rsid w:val="00251680"/>
    <w:rsid w:val="00252585"/>
    <w:rsid w:val="00252824"/>
    <w:rsid w:val="00253536"/>
    <w:rsid w:val="00253B1B"/>
    <w:rsid w:val="00254003"/>
    <w:rsid w:val="00254DC3"/>
    <w:rsid w:val="00255779"/>
    <w:rsid w:val="0025611D"/>
    <w:rsid w:val="0025611F"/>
    <w:rsid w:val="00256273"/>
    <w:rsid w:val="00256391"/>
    <w:rsid w:val="002571E4"/>
    <w:rsid w:val="002575F4"/>
    <w:rsid w:val="00257999"/>
    <w:rsid w:val="00257EE8"/>
    <w:rsid w:val="00260382"/>
    <w:rsid w:val="00260597"/>
    <w:rsid w:val="00260828"/>
    <w:rsid w:val="00260B4F"/>
    <w:rsid w:val="002613F5"/>
    <w:rsid w:val="00262A4E"/>
    <w:rsid w:val="00263211"/>
    <w:rsid w:val="00263363"/>
    <w:rsid w:val="0026367B"/>
    <w:rsid w:val="00263D51"/>
    <w:rsid w:val="00263DB2"/>
    <w:rsid w:val="002641D0"/>
    <w:rsid w:val="00264577"/>
    <w:rsid w:val="00264F2F"/>
    <w:rsid w:val="002655F3"/>
    <w:rsid w:val="00266E2C"/>
    <w:rsid w:val="00266ED8"/>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ED6"/>
    <w:rsid w:val="00275F10"/>
    <w:rsid w:val="00276784"/>
    <w:rsid w:val="00277518"/>
    <w:rsid w:val="002778AB"/>
    <w:rsid w:val="00280AF5"/>
    <w:rsid w:val="00280C23"/>
    <w:rsid w:val="00281885"/>
    <w:rsid w:val="00281A01"/>
    <w:rsid w:val="00281A36"/>
    <w:rsid w:val="00281A43"/>
    <w:rsid w:val="00281BBA"/>
    <w:rsid w:val="00282022"/>
    <w:rsid w:val="002824C8"/>
    <w:rsid w:val="00282AD7"/>
    <w:rsid w:val="00283250"/>
    <w:rsid w:val="0028405B"/>
    <w:rsid w:val="0028468A"/>
    <w:rsid w:val="00284F28"/>
    <w:rsid w:val="0028638D"/>
    <w:rsid w:val="00286786"/>
    <w:rsid w:val="00286A35"/>
    <w:rsid w:val="002878E6"/>
    <w:rsid w:val="00287A21"/>
    <w:rsid w:val="00287AE8"/>
    <w:rsid w:val="002902FF"/>
    <w:rsid w:val="0029035D"/>
    <w:rsid w:val="002905F5"/>
    <w:rsid w:val="00290FF1"/>
    <w:rsid w:val="00291067"/>
    <w:rsid w:val="00291EFC"/>
    <w:rsid w:val="002925A7"/>
    <w:rsid w:val="00292902"/>
    <w:rsid w:val="00292A19"/>
    <w:rsid w:val="00292A3B"/>
    <w:rsid w:val="00292D91"/>
    <w:rsid w:val="00293163"/>
    <w:rsid w:val="002933D7"/>
    <w:rsid w:val="00293A1A"/>
    <w:rsid w:val="00293D4C"/>
    <w:rsid w:val="002953CF"/>
    <w:rsid w:val="002960E1"/>
    <w:rsid w:val="002968B5"/>
    <w:rsid w:val="002969D6"/>
    <w:rsid w:val="00296C07"/>
    <w:rsid w:val="00296F48"/>
    <w:rsid w:val="0029766F"/>
    <w:rsid w:val="00297A96"/>
    <w:rsid w:val="00297BAA"/>
    <w:rsid w:val="00297CBD"/>
    <w:rsid w:val="00297FB3"/>
    <w:rsid w:val="002A0AF0"/>
    <w:rsid w:val="002A0C73"/>
    <w:rsid w:val="002A1725"/>
    <w:rsid w:val="002A1D6F"/>
    <w:rsid w:val="002A22C4"/>
    <w:rsid w:val="002A285C"/>
    <w:rsid w:val="002A28AD"/>
    <w:rsid w:val="002A2E79"/>
    <w:rsid w:val="002A3654"/>
    <w:rsid w:val="002A3875"/>
    <w:rsid w:val="002A43DD"/>
    <w:rsid w:val="002A4A05"/>
    <w:rsid w:val="002A547C"/>
    <w:rsid w:val="002A59A3"/>
    <w:rsid w:val="002A5B99"/>
    <w:rsid w:val="002A5CEC"/>
    <w:rsid w:val="002A606D"/>
    <w:rsid w:val="002A76DB"/>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57"/>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20C"/>
    <w:rsid w:val="002C087C"/>
    <w:rsid w:val="002C09E1"/>
    <w:rsid w:val="002C0A4F"/>
    <w:rsid w:val="002C0B37"/>
    <w:rsid w:val="002C0CEC"/>
    <w:rsid w:val="002C1459"/>
    <w:rsid w:val="002C156B"/>
    <w:rsid w:val="002C165A"/>
    <w:rsid w:val="002C1FCF"/>
    <w:rsid w:val="002C2A73"/>
    <w:rsid w:val="002C4047"/>
    <w:rsid w:val="002C42E1"/>
    <w:rsid w:val="002C4631"/>
    <w:rsid w:val="002C463E"/>
    <w:rsid w:val="002C499E"/>
    <w:rsid w:val="002C4A1F"/>
    <w:rsid w:val="002C549D"/>
    <w:rsid w:val="002C56E7"/>
    <w:rsid w:val="002C575A"/>
    <w:rsid w:val="002C6E45"/>
    <w:rsid w:val="002C72F8"/>
    <w:rsid w:val="002C74D1"/>
    <w:rsid w:val="002C75DA"/>
    <w:rsid w:val="002C772F"/>
    <w:rsid w:val="002C7CF6"/>
    <w:rsid w:val="002C7DBF"/>
    <w:rsid w:val="002D04FA"/>
    <w:rsid w:val="002D0785"/>
    <w:rsid w:val="002D0952"/>
    <w:rsid w:val="002D0F67"/>
    <w:rsid w:val="002D184A"/>
    <w:rsid w:val="002D1B84"/>
    <w:rsid w:val="002D21AD"/>
    <w:rsid w:val="002D26C9"/>
    <w:rsid w:val="002D2D73"/>
    <w:rsid w:val="002D31A4"/>
    <w:rsid w:val="002D3C5F"/>
    <w:rsid w:val="002D4100"/>
    <w:rsid w:val="002D43F7"/>
    <w:rsid w:val="002D4465"/>
    <w:rsid w:val="002D468E"/>
    <w:rsid w:val="002D4B41"/>
    <w:rsid w:val="002D4B86"/>
    <w:rsid w:val="002D5215"/>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67C7"/>
    <w:rsid w:val="002E74C4"/>
    <w:rsid w:val="002E75A6"/>
    <w:rsid w:val="002E75E7"/>
    <w:rsid w:val="002E7DD2"/>
    <w:rsid w:val="002F01E3"/>
    <w:rsid w:val="002F0380"/>
    <w:rsid w:val="002F0C91"/>
    <w:rsid w:val="002F0E8A"/>
    <w:rsid w:val="002F165E"/>
    <w:rsid w:val="002F17B6"/>
    <w:rsid w:val="002F1A5C"/>
    <w:rsid w:val="002F2381"/>
    <w:rsid w:val="002F2798"/>
    <w:rsid w:val="002F2BE4"/>
    <w:rsid w:val="002F2F11"/>
    <w:rsid w:val="002F31EC"/>
    <w:rsid w:val="002F3349"/>
    <w:rsid w:val="002F3379"/>
    <w:rsid w:val="002F3398"/>
    <w:rsid w:val="002F33DF"/>
    <w:rsid w:val="002F3852"/>
    <w:rsid w:val="002F43DB"/>
    <w:rsid w:val="002F4BBD"/>
    <w:rsid w:val="002F5A62"/>
    <w:rsid w:val="002F6666"/>
    <w:rsid w:val="002F6E09"/>
    <w:rsid w:val="002F748C"/>
    <w:rsid w:val="002F7C9F"/>
    <w:rsid w:val="00300090"/>
    <w:rsid w:val="003007AA"/>
    <w:rsid w:val="00300B05"/>
    <w:rsid w:val="00300CE8"/>
    <w:rsid w:val="00301488"/>
    <w:rsid w:val="003016FF"/>
    <w:rsid w:val="00301AE8"/>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7051"/>
    <w:rsid w:val="003077AF"/>
    <w:rsid w:val="003079DB"/>
    <w:rsid w:val="00307C78"/>
    <w:rsid w:val="00307F8C"/>
    <w:rsid w:val="00310AE0"/>
    <w:rsid w:val="003111A1"/>
    <w:rsid w:val="003111AD"/>
    <w:rsid w:val="00311562"/>
    <w:rsid w:val="003117CF"/>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4F0A"/>
    <w:rsid w:val="00325219"/>
    <w:rsid w:val="003252DD"/>
    <w:rsid w:val="003260E7"/>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3D0"/>
    <w:rsid w:val="00334DAC"/>
    <w:rsid w:val="003365A4"/>
    <w:rsid w:val="003366A2"/>
    <w:rsid w:val="003373FA"/>
    <w:rsid w:val="003379B3"/>
    <w:rsid w:val="00337C62"/>
    <w:rsid w:val="00337C81"/>
    <w:rsid w:val="00340344"/>
    <w:rsid w:val="003405BD"/>
    <w:rsid w:val="00340999"/>
    <w:rsid w:val="00340B33"/>
    <w:rsid w:val="00340B42"/>
    <w:rsid w:val="00340CC9"/>
    <w:rsid w:val="003410FA"/>
    <w:rsid w:val="00341187"/>
    <w:rsid w:val="003414A5"/>
    <w:rsid w:val="00341646"/>
    <w:rsid w:val="003418F0"/>
    <w:rsid w:val="00342B39"/>
    <w:rsid w:val="00343085"/>
    <w:rsid w:val="003431D9"/>
    <w:rsid w:val="00344963"/>
    <w:rsid w:val="00344A96"/>
    <w:rsid w:val="00344F4B"/>
    <w:rsid w:val="00345344"/>
    <w:rsid w:val="00345499"/>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30D8"/>
    <w:rsid w:val="00353929"/>
    <w:rsid w:val="00353C3D"/>
    <w:rsid w:val="00353F19"/>
    <w:rsid w:val="003543CF"/>
    <w:rsid w:val="00354549"/>
    <w:rsid w:val="00354753"/>
    <w:rsid w:val="00354DFA"/>
    <w:rsid w:val="00354E96"/>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491"/>
    <w:rsid w:val="00360BC2"/>
    <w:rsid w:val="00360F8F"/>
    <w:rsid w:val="00361802"/>
    <w:rsid w:val="00361D8D"/>
    <w:rsid w:val="003620ED"/>
    <w:rsid w:val="00362B40"/>
    <w:rsid w:val="003632D9"/>
    <w:rsid w:val="00363A85"/>
    <w:rsid w:val="00363D32"/>
    <w:rsid w:val="00363FF5"/>
    <w:rsid w:val="00364B9C"/>
    <w:rsid w:val="00364C0C"/>
    <w:rsid w:val="0036508F"/>
    <w:rsid w:val="003654A1"/>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0F2E"/>
    <w:rsid w:val="0037146D"/>
    <w:rsid w:val="00371A6D"/>
    <w:rsid w:val="0037259F"/>
    <w:rsid w:val="00372661"/>
    <w:rsid w:val="00372756"/>
    <w:rsid w:val="00373411"/>
    <w:rsid w:val="003738FC"/>
    <w:rsid w:val="003745AD"/>
    <w:rsid w:val="0037496D"/>
    <w:rsid w:val="00375B46"/>
    <w:rsid w:val="00375FA4"/>
    <w:rsid w:val="003760F9"/>
    <w:rsid w:val="00376145"/>
    <w:rsid w:val="0037653A"/>
    <w:rsid w:val="00376563"/>
    <w:rsid w:val="00376E03"/>
    <w:rsid w:val="00377481"/>
    <w:rsid w:val="0037757F"/>
    <w:rsid w:val="00377619"/>
    <w:rsid w:val="00377FE2"/>
    <w:rsid w:val="003803D7"/>
    <w:rsid w:val="00380AED"/>
    <w:rsid w:val="003815D1"/>
    <w:rsid w:val="00381B56"/>
    <w:rsid w:val="00382288"/>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2993"/>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102"/>
    <w:rsid w:val="003A34D5"/>
    <w:rsid w:val="003A3922"/>
    <w:rsid w:val="003A3991"/>
    <w:rsid w:val="003A3A19"/>
    <w:rsid w:val="003A3A95"/>
    <w:rsid w:val="003A3A9F"/>
    <w:rsid w:val="003A41BC"/>
    <w:rsid w:val="003A43AD"/>
    <w:rsid w:val="003A4400"/>
    <w:rsid w:val="003A4A29"/>
    <w:rsid w:val="003A65A4"/>
    <w:rsid w:val="003A6B7F"/>
    <w:rsid w:val="003A6EA2"/>
    <w:rsid w:val="003A70FF"/>
    <w:rsid w:val="003A7CDC"/>
    <w:rsid w:val="003A7EF1"/>
    <w:rsid w:val="003B0273"/>
    <w:rsid w:val="003B03CE"/>
    <w:rsid w:val="003B0E79"/>
    <w:rsid w:val="003B1C2F"/>
    <w:rsid w:val="003B3116"/>
    <w:rsid w:val="003B32F8"/>
    <w:rsid w:val="003B34C2"/>
    <w:rsid w:val="003B34EA"/>
    <w:rsid w:val="003B3664"/>
    <w:rsid w:val="003B3F02"/>
    <w:rsid w:val="003B3FD2"/>
    <w:rsid w:val="003B4646"/>
    <w:rsid w:val="003B52EE"/>
    <w:rsid w:val="003B617F"/>
    <w:rsid w:val="003B6456"/>
    <w:rsid w:val="003B683B"/>
    <w:rsid w:val="003B706F"/>
    <w:rsid w:val="003B7319"/>
    <w:rsid w:val="003B7505"/>
    <w:rsid w:val="003B7E94"/>
    <w:rsid w:val="003C058C"/>
    <w:rsid w:val="003C0C1D"/>
    <w:rsid w:val="003C112B"/>
    <w:rsid w:val="003C1A1C"/>
    <w:rsid w:val="003C1C5A"/>
    <w:rsid w:val="003C1F4B"/>
    <w:rsid w:val="003C2766"/>
    <w:rsid w:val="003C2B85"/>
    <w:rsid w:val="003C33E0"/>
    <w:rsid w:val="003C35D7"/>
    <w:rsid w:val="003C3A26"/>
    <w:rsid w:val="003C4988"/>
    <w:rsid w:val="003C560A"/>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B98"/>
    <w:rsid w:val="003D1DE4"/>
    <w:rsid w:val="003D2047"/>
    <w:rsid w:val="003D2AB8"/>
    <w:rsid w:val="003D2F49"/>
    <w:rsid w:val="003D3DBE"/>
    <w:rsid w:val="003D4B2E"/>
    <w:rsid w:val="003D55E8"/>
    <w:rsid w:val="003D570E"/>
    <w:rsid w:val="003D6379"/>
    <w:rsid w:val="003D7084"/>
    <w:rsid w:val="003D7474"/>
    <w:rsid w:val="003D77EE"/>
    <w:rsid w:val="003D7A8C"/>
    <w:rsid w:val="003D7B3C"/>
    <w:rsid w:val="003D7DD4"/>
    <w:rsid w:val="003E0595"/>
    <w:rsid w:val="003E07AA"/>
    <w:rsid w:val="003E1293"/>
    <w:rsid w:val="003E14AE"/>
    <w:rsid w:val="003E1847"/>
    <w:rsid w:val="003E18C8"/>
    <w:rsid w:val="003E232C"/>
    <w:rsid w:val="003E291A"/>
    <w:rsid w:val="003E2B6F"/>
    <w:rsid w:val="003E3171"/>
    <w:rsid w:val="003E3D22"/>
    <w:rsid w:val="003E406D"/>
    <w:rsid w:val="003E5340"/>
    <w:rsid w:val="003E53C9"/>
    <w:rsid w:val="003E58A8"/>
    <w:rsid w:val="003E7143"/>
    <w:rsid w:val="003E7238"/>
    <w:rsid w:val="003E74AF"/>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04F"/>
    <w:rsid w:val="003F422F"/>
    <w:rsid w:val="003F4278"/>
    <w:rsid w:val="003F4483"/>
    <w:rsid w:val="003F4A1D"/>
    <w:rsid w:val="003F522C"/>
    <w:rsid w:val="003F53FD"/>
    <w:rsid w:val="003F5784"/>
    <w:rsid w:val="003F5897"/>
    <w:rsid w:val="003F649F"/>
    <w:rsid w:val="003F6BB4"/>
    <w:rsid w:val="003F6D34"/>
    <w:rsid w:val="003F6EB3"/>
    <w:rsid w:val="003F6F38"/>
    <w:rsid w:val="003F782C"/>
    <w:rsid w:val="003F7A7B"/>
    <w:rsid w:val="003F7C46"/>
    <w:rsid w:val="003F7E87"/>
    <w:rsid w:val="00400378"/>
    <w:rsid w:val="004008E7"/>
    <w:rsid w:val="00400EAB"/>
    <w:rsid w:val="00400EB3"/>
    <w:rsid w:val="004011A7"/>
    <w:rsid w:val="0040124C"/>
    <w:rsid w:val="00401304"/>
    <w:rsid w:val="004013F6"/>
    <w:rsid w:val="004018B1"/>
    <w:rsid w:val="00401DB4"/>
    <w:rsid w:val="0040222A"/>
    <w:rsid w:val="00402932"/>
    <w:rsid w:val="00402DAB"/>
    <w:rsid w:val="00403023"/>
    <w:rsid w:val="00403949"/>
    <w:rsid w:val="00403D72"/>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777B"/>
    <w:rsid w:val="00417B51"/>
    <w:rsid w:val="00417C3A"/>
    <w:rsid w:val="00417D9E"/>
    <w:rsid w:val="00420520"/>
    <w:rsid w:val="00420A4A"/>
    <w:rsid w:val="00420B11"/>
    <w:rsid w:val="00420F2F"/>
    <w:rsid w:val="00421623"/>
    <w:rsid w:val="00421B2E"/>
    <w:rsid w:val="00421DC7"/>
    <w:rsid w:val="00422EE6"/>
    <w:rsid w:val="00422EF9"/>
    <w:rsid w:val="00423201"/>
    <w:rsid w:val="00423734"/>
    <w:rsid w:val="00424174"/>
    <w:rsid w:val="0042488E"/>
    <w:rsid w:val="00424F57"/>
    <w:rsid w:val="004254CC"/>
    <w:rsid w:val="004257A2"/>
    <w:rsid w:val="00425B55"/>
    <w:rsid w:val="00425FFA"/>
    <w:rsid w:val="00427216"/>
    <w:rsid w:val="0042725E"/>
    <w:rsid w:val="004274CA"/>
    <w:rsid w:val="00427578"/>
    <w:rsid w:val="00427C76"/>
    <w:rsid w:val="00430B84"/>
    <w:rsid w:val="00431002"/>
    <w:rsid w:val="00431068"/>
    <w:rsid w:val="00431196"/>
    <w:rsid w:val="0043132C"/>
    <w:rsid w:val="004317E5"/>
    <w:rsid w:val="00432D33"/>
    <w:rsid w:val="00432E5E"/>
    <w:rsid w:val="00432EC3"/>
    <w:rsid w:val="00433092"/>
    <w:rsid w:val="004330A3"/>
    <w:rsid w:val="00433112"/>
    <w:rsid w:val="004331D1"/>
    <w:rsid w:val="0043324F"/>
    <w:rsid w:val="00433562"/>
    <w:rsid w:val="0043448E"/>
    <w:rsid w:val="00434702"/>
    <w:rsid w:val="004347AB"/>
    <w:rsid w:val="00434894"/>
    <w:rsid w:val="00434CBE"/>
    <w:rsid w:val="00434F4D"/>
    <w:rsid w:val="004352D2"/>
    <w:rsid w:val="004360FE"/>
    <w:rsid w:val="004368D4"/>
    <w:rsid w:val="00436BBC"/>
    <w:rsid w:val="00436E8F"/>
    <w:rsid w:val="0043730E"/>
    <w:rsid w:val="00437E18"/>
    <w:rsid w:val="00437E80"/>
    <w:rsid w:val="00440871"/>
    <w:rsid w:val="00441316"/>
    <w:rsid w:val="00441943"/>
    <w:rsid w:val="00441A8C"/>
    <w:rsid w:val="004423A2"/>
    <w:rsid w:val="0044276B"/>
    <w:rsid w:val="00442B34"/>
    <w:rsid w:val="00442D2B"/>
    <w:rsid w:val="00443148"/>
    <w:rsid w:val="00443AC2"/>
    <w:rsid w:val="00443F4E"/>
    <w:rsid w:val="00445050"/>
    <w:rsid w:val="004459BB"/>
    <w:rsid w:val="00445A9D"/>
    <w:rsid w:val="00446208"/>
    <w:rsid w:val="004462C9"/>
    <w:rsid w:val="004462DF"/>
    <w:rsid w:val="004466C7"/>
    <w:rsid w:val="00446764"/>
    <w:rsid w:val="00446B14"/>
    <w:rsid w:val="004470B6"/>
    <w:rsid w:val="00447699"/>
    <w:rsid w:val="004478AF"/>
    <w:rsid w:val="00447B61"/>
    <w:rsid w:val="00447E6F"/>
    <w:rsid w:val="00447EF9"/>
    <w:rsid w:val="00450DA6"/>
    <w:rsid w:val="00451714"/>
    <w:rsid w:val="00451A47"/>
    <w:rsid w:val="00451AA7"/>
    <w:rsid w:val="00451E5E"/>
    <w:rsid w:val="00452A24"/>
    <w:rsid w:val="00452A5B"/>
    <w:rsid w:val="00453A11"/>
    <w:rsid w:val="00453B84"/>
    <w:rsid w:val="00453C58"/>
    <w:rsid w:val="00453D18"/>
    <w:rsid w:val="00453F06"/>
    <w:rsid w:val="0045412C"/>
    <w:rsid w:val="00454A13"/>
    <w:rsid w:val="00454A14"/>
    <w:rsid w:val="00454D64"/>
    <w:rsid w:val="00454FD4"/>
    <w:rsid w:val="004556E0"/>
    <w:rsid w:val="00455E3E"/>
    <w:rsid w:val="00456587"/>
    <w:rsid w:val="00456670"/>
    <w:rsid w:val="004567ED"/>
    <w:rsid w:val="004576E2"/>
    <w:rsid w:val="00457731"/>
    <w:rsid w:val="00457BDF"/>
    <w:rsid w:val="00457C75"/>
    <w:rsid w:val="0046060C"/>
    <w:rsid w:val="004607CF"/>
    <w:rsid w:val="00460CDA"/>
    <w:rsid w:val="0046150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59B"/>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C4"/>
    <w:rsid w:val="00480E79"/>
    <w:rsid w:val="0048194D"/>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9C1"/>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5D3"/>
    <w:rsid w:val="00496FEA"/>
    <w:rsid w:val="004970A5"/>
    <w:rsid w:val="004A0178"/>
    <w:rsid w:val="004A04A4"/>
    <w:rsid w:val="004A06BB"/>
    <w:rsid w:val="004A06BD"/>
    <w:rsid w:val="004A0881"/>
    <w:rsid w:val="004A0BC8"/>
    <w:rsid w:val="004A0CF0"/>
    <w:rsid w:val="004A0DB3"/>
    <w:rsid w:val="004A0EBE"/>
    <w:rsid w:val="004A10A3"/>
    <w:rsid w:val="004A1247"/>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5F7"/>
    <w:rsid w:val="004A5C54"/>
    <w:rsid w:val="004A68E8"/>
    <w:rsid w:val="004A6B30"/>
    <w:rsid w:val="004A74CF"/>
    <w:rsid w:val="004A75A5"/>
    <w:rsid w:val="004B071E"/>
    <w:rsid w:val="004B0973"/>
    <w:rsid w:val="004B0B88"/>
    <w:rsid w:val="004B0E56"/>
    <w:rsid w:val="004B11AF"/>
    <w:rsid w:val="004B129A"/>
    <w:rsid w:val="004B171F"/>
    <w:rsid w:val="004B1DCC"/>
    <w:rsid w:val="004B2A5A"/>
    <w:rsid w:val="004B3001"/>
    <w:rsid w:val="004B30B7"/>
    <w:rsid w:val="004B314A"/>
    <w:rsid w:val="004B50F0"/>
    <w:rsid w:val="004B5556"/>
    <w:rsid w:val="004B5952"/>
    <w:rsid w:val="004B5990"/>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0B7"/>
    <w:rsid w:val="004C11BD"/>
    <w:rsid w:val="004C1B7D"/>
    <w:rsid w:val="004C2E49"/>
    <w:rsid w:val="004C37B9"/>
    <w:rsid w:val="004C3A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0E3"/>
    <w:rsid w:val="004D1736"/>
    <w:rsid w:val="004D1A90"/>
    <w:rsid w:val="004D1E3E"/>
    <w:rsid w:val="004D2234"/>
    <w:rsid w:val="004D236E"/>
    <w:rsid w:val="004D2461"/>
    <w:rsid w:val="004D25EB"/>
    <w:rsid w:val="004D26DD"/>
    <w:rsid w:val="004D2EC5"/>
    <w:rsid w:val="004D306E"/>
    <w:rsid w:val="004D361B"/>
    <w:rsid w:val="004D36E2"/>
    <w:rsid w:val="004D402B"/>
    <w:rsid w:val="004D42BA"/>
    <w:rsid w:val="004D43EB"/>
    <w:rsid w:val="004D4707"/>
    <w:rsid w:val="004D48AE"/>
    <w:rsid w:val="004D4F85"/>
    <w:rsid w:val="004D54F0"/>
    <w:rsid w:val="004D5860"/>
    <w:rsid w:val="004D5B60"/>
    <w:rsid w:val="004D5B7C"/>
    <w:rsid w:val="004D5E26"/>
    <w:rsid w:val="004D64AF"/>
    <w:rsid w:val="004D6756"/>
    <w:rsid w:val="004D7167"/>
    <w:rsid w:val="004D7951"/>
    <w:rsid w:val="004E05DB"/>
    <w:rsid w:val="004E06B9"/>
    <w:rsid w:val="004E0904"/>
    <w:rsid w:val="004E118E"/>
    <w:rsid w:val="004E176A"/>
    <w:rsid w:val="004E18BC"/>
    <w:rsid w:val="004E1B61"/>
    <w:rsid w:val="004E2D9B"/>
    <w:rsid w:val="004E324E"/>
    <w:rsid w:val="004E3552"/>
    <w:rsid w:val="004E3832"/>
    <w:rsid w:val="004E3B73"/>
    <w:rsid w:val="004E3ED6"/>
    <w:rsid w:val="004E3F32"/>
    <w:rsid w:val="004E4292"/>
    <w:rsid w:val="004E4601"/>
    <w:rsid w:val="004E4A9D"/>
    <w:rsid w:val="004E5DBA"/>
    <w:rsid w:val="004E605D"/>
    <w:rsid w:val="004E62CC"/>
    <w:rsid w:val="004E6569"/>
    <w:rsid w:val="004E6F9B"/>
    <w:rsid w:val="004E7147"/>
    <w:rsid w:val="004E7325"/>
    <w:rsid w:val="004E7749"/>
    <w:rsid w:val="004E7B7D"/>
    <w:rsid w:val="004F10C6"/>
    <w:rsid w:val="004F25CF"/>
    <w:rsid w:val="004F27E7"/>
    <w:rsid w:val="004F29E8"/>
    <w:rsid w:val="004F2D63"/>
    <w:rsid w:val="004F30FC"/>
    <w:rsid w:val="004F344F"/>
    <w:rsid w:val="004F376E"/>
    <w:rsid w:val="004F3860"/>
    <w:rsid w:val="004F3F9F"/>
    <w:rsid w:val="004F4DE3"/>
    <w:rsid w:val="004F5074"/>
    <w:rsid w:val="004F5140"/>
    <w:rsid w:val="004F5469"/>
    <w:rsid w:val="004F6F61"/>
    <w:rsid w:val="004F76A6"/>
    <w:rsid w:val="004F7A3C"/>
    <w:rsid w:val="004F7D71"/>
    <w:rsid w:val="004F7DA4"/>
    <w:rsid w:val="004F7DA9"/>
    <w:rsid w:val="004F7DC1"/>
    <w:rsid w:val="00500C8D"/>
    <w:rsid w:val="0050177B"/>
    <w:rsid w:val="00501A26"/>
    <w:rsid w:val="00501F97"/>
    <w:rsid w:val="005022A5"/>
    <w:rsid w:val="005028B0"/>
    <w:rsid w:val="005029F9"/>
    <w:rsid w:val="0050305C"/>
    <w:rsid w:val="005035C9"/>
    <w:rsid w:val="005039C8"/>
    <w:rsid w:val="00504CFC"/>
    <w:rsid w:val="005053B4"/>
    <w:rsid w:val="00505E28"/>
    <w:rsid w:val="005060A0"/>
    <w:rsid w:val="005063AF"/>
    <w:rsid w:val="005067F4"/>
    <w:rsid w:val="00506B79"/>
    <w:rsid w:val="00506C28"/>
    <w:rsid w:val="00506E1E"/>
    <w:rsid w:val="0050719E"/>
    <w:rsid w:val="005077BD"/>
    <w:rsid w:val="005079A4"/>
    <w:rsid w:val="005109F2"/>
    <w:rsid w:val="005110D8"/>
    <w:rsid w:val="00511B01"/>
    <w:rsid w:val="005121A8"/>
    <w:rsid w:val="005127EF"/>
    <w:rsid w:val="005128E7"/>
    <w:rsid w:val="00512BF6"/>
    <w:rsid w:val="00512E12"/>
    <w:rsid w:val="00512E23"/>
    <w:rsid w:val="005130F2"/>
    <w:rsid w:val="00513248"/>
    <w:rsid w:val="0051399B"/>
    <w:rsid w:val="00513F41"/>
    <w:rsid w:val="00514249"/>
    <w:rsid w:val="00514741"/>
    <w:rsid w:val="005148B7"/>
    <w:rsid w:val="00515455"/>
    <w:rsid w:val="00515500"/>
    <w:rsid w:val="00515618"/>
    <w:rsid w:val="005157AB"/>
    <w:rsid w:val="005159BA"/>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944"/>
    <w:rsid w:val="00522B1D"/>
    <w:rsid w:val="005233C9"/>
    <w:rsid w:val="0052383B"/>
    <w:rsid w:val="0052383E"/>
    <w:rsid w:val="0052388A"/>
    <w:rsid w:val="005244B9"/>
    <w:rsid w:val="00524FE6"/>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160"/>
    <w:rsid w:val="00532618"/>
    <w:rsid w:val="00532B0A"/>
    <w:rsid w:val="0053343B"/>
    <w:rsid w:val="00533905"/>
    <w:rsid w:val="00533ADC"/>
    <w:rsid w:val="00533BBA"/>
    <w:rsid w:val="00533EF3"/>
    <w:rsid w:val="00533FAD"/>
    <w:rsid w:val="005340DC"/>
    <w:rsid w:val="00535046"/>
    <w:rsid w:val="00535F4A"/>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99F"/>
    <w:rsid w:val="00543B55"/>
    <w:rsid w:val="00543C41"/>
    <w:rsid w:val="00543D89"/>
    <w:rsid w:val="00543FD8"/>
    <w:rsid w:val="0054419A"/>
    <w:rsid w:val="00544402"/>
    <w:rsid w:val="00544574"/>
    <w:rsid w:val="005445C0"/>
    <w:rsid w:val="00544CC3"/>
    <w:rsid w:val="00544D9E"/>
    <w:rsid w:val="005454DB"/>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4E8"/>
    <w:rsid w:val="00550815"/>
    <w:rsid w:val="00550E94"/>
    <w:rsid w:val="00551532"/>
    <w:rsid w:val="00551804"/>
    <w:rsid w:val="0055329E"/>
    <w:rsid w:val="00553407"/>
    <w:rsid w:val="00553E97"/>
    <w:rsid w:val="005549B2"/>
    <w:rsid w:val="00554A64"/>
    <w:rsid w:val="00555E3C"/>
    <w:rsid w:val="0055646F"/>
    <w:rsid w:val="00556575"/>
    <w:rsid w:val="005567C2"/>
    <w:rsid w:val="005567F8"/>
    <w:rsid w:val="00556E56"/>
    <w:rsid w:val="00556EFE"/>
    <w:rsid w:val="005574B7"/>
    <w:rsid w:val="00557809"/>
    <w:rsid w:val="00557B0B"/>
    <w:rsid w:val="0056038E"/>
    <w:rsid w:val="0056114A"/>
    <w:rsid w:val="0056180E"/>
    <w:rsid w:val="00561AF1"/>
    <w:rsid w:val="00561E8A"/>
    <w:rsid w:val="0056241C"/>
    <w:rsid w:val="00562612"/>
    <w:rsid w:val="00562710"/>
    <w:rsid w:val="00562F8B"/>
    <w:rsid w:val="005639ED"/>
    <w:rsid w:val="00563A47"/>
    <w:rsid w:val="0056421B"/>
    <w:rsid w:val="0056475D"/>
    <w:rsid w:val="005648D5"/>
    <w:rsid w:val="00565383"/>
    <w:rsid w:val="00566B98"/>
    <w:rsid w:val="00567B5B"/>
    <w:rsid w:val="00567FA4"/>
    <w:rsid w:val="00570499"/>
    <w:rsid w:val="005708A6"/>
    <w:rsid w:val="00570AAD"/>
    <w:rsid w:val="0057148A"/>
    <w:rsid w:val="00571991"/>
    <w:rsid w:val="00572490"/>
    <w:rsid w:val="005728A7"/>
    <w:rsid w:val="00573268"/>
    <w:rsid w:val="005732FC"/>
    <w:rsid w:val="00573580"/>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4739"/>
    <w:rsid w:val="00584A78"/>
    <w:rsid w:val="00584EBE"/>
    <w:rsid w:val="00585B24"/>
    <w:rsid w:val="0058685A"/>
    <w:rsid w:val="00586EC8"/>
    <w:rsid w:val="00587074"/>
    <w:rsid w:val="00587C5E"/>
    <w:rsid w:val="00587C9D"/>
    <w:rsid w:val="00587E33"/>
    <w:rsid w:val="005900F2"/>
    <w:rsid w:val="005906BC"/>
    <w:rsid w:val="00590B47"/>
    <w:rsid w:val="00590C96"/>
    <w:rsid w:val="0059112A"/>
    <w:rsid w:val="0059151E"/>
    <w:rsid w:val="00591D6A"/>
    <w:rsid w:val="005920D4"/>
    <w:rsid w:val="0059235D"/>
    <w:rsid w:val="005928EB"/>
    <w:rsid w:val="00592AB2"/>
    <w:rsid w:val="00592B9C"/>
    <w:rsid w:val="0059356D"/>
    <w:rsid w:val="00593819"/>
    <w:rsid w:val="00593FAB"/>
    <w:rsid w:val="00593FEA"/>
    <w:rsid w:val="005945E8"/>
    <w:rsid w:val="0059466E"/>
    <w:rsid w:val="00594D1C"/>
    <w:rsid w:val="00595ECE"/>
    <w:rsid w:val="0059601A"/>
    <w:rsid w:val="0059697F"/>
    <w:rsid w:val="00596A91"/>
    <w:rsid w:val="005976AE"/>
    <w:rsid w:val="00597D51"/>
    <w:rsid w:val="005A0817"/>
    <w:rsid w:val="005A091F"/>
    <w:rsid w:val="005A10EE"/>
    <w:rsid w:val="005A15EE"/>
    <w:rsid w:val="005A1CD6"/>
    <w:rsid w:val="005A2536"/>
    <w:rsid w:val="005A2A76"/>
    <w:rsid w:val="005A2F9B"/>
    <w:rsid w:val="005A301F"/>
    <w:rsid w:val="005A314E"/>
    <w:rsid w:val="005A4044"/>
    <w:rsid w:val="005A46E2"/>
    <w:rsid w:val="005A4A64"/>
    <w:rsid w:val="005A4E57"/>
    <w:rsid w:val="005A52F3"/>
    <w:rsid w:val="005A5368"/>
    <w:rsid w:val="005A5998"/>
    <w:rsid w:val="005A59C1"/>
    <w:rsid w:val="005A5B38"/>
    <w:rsid w:val="005A5E57"/>
    <w:rsid w:val="005A6CB4"/>
    <w:rsid w:val="005A6FD4"/>
    <w:rsid w:val="005A7023"/>
    <w:rsid w:val="005A75F2"/>
    <w:rsid w:val="005B0839"/>
    <w:rsid w:val="005B113A"/>
    <w:rsid w:val="005B14D9"/>
    <w:rsid w:val="005B16F7"/>
    <w:rsid w:val="005B1ABC"/>
    <w:rsid w:val="005B1E4E"/>
    <w:rsid w:val="005B1E56"/>
    <w:rsid w:val="005B2443"/>
    <w:rsid w:val="005B256D"/>
    <w:rsid w:val="005B25AF"/>
    <w:rsid w:val="005B2C5A"/>
    <w:rsid w:val="005B31E1"/>
    <w:rsid w:val="005B3262"/>
    <w:rsid w:val="005B326E"/>
    <w:rsid w:val="005B34CF"/>
    <w:rsid w:val="005B3BF7"/>
    <w:rsid w:val="005B3C81"/>
    <w:rsid w:val="005B3EE7"/>
    <w:rsid w:val="005B404F"/>
    <w:rsid w:val="005B4299"/>
    <w:rsid w:val="005B4840"/>
    <w:rsid w:val="005B4980"/>
    <w:rsid w:val="005B4B13"/>
    <w:rsid w:val="005B545D"/>
    <w:rsid w:val="005B5EE0"/>
    <w:rsid w:val="005B6939"/>
    <w:rsid w:val="005B6F3F"/>
    <w:rsid w:val="005B75D1"/>
    <w:rsid w:val="005B793B"/>
    <w:rsid w:val="005C0A42"/>
    <w:rsid w:val="005C0B96"/>
    <w:rsid w:val="005C12C5"/>
    <w:rsid w:val="005C12CB"/>
    <w:rsid w:val="005C1395"/>
    <w:rsid w:val="005C141A"/>
    <w:rsid w:val="005C2082"/>
    <w:rsid w:val="005C285E"/>
    <w:rsid w:val="005C2A22"/>
    <w:rsid w:val="005C2A6E"/>
    <w:rsid w:val="005C300B"/>
    <w:rsid w:val="005C318B"/>
    <w:rsid w:val="005C390B"/>
    <w:rsid w:val="005C3C6C"/>
    <w:rsid w:val="005C400B"/>
    <w:rsid w:val="005C415C"/>
    <w:rsid w:val="005C461C"/>
    <w:rsid w:val="005C48D1"/>
    <w:rsid w:val="005C5450"/>
    <w:rsid w:val="005C5501"/>
    <w:rsid w:val="005C5E6E"/>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BDA"/>
    <w:rsid w:val="005D2E4C"/>
    <w:rsid w:val="005D2F16"/>
    <w:rsid w:val="005D3398"/>
    <w:rsid w:val="005D39ED"/>
    <w:rsid w:val="005D3B5E"/>
    <w:rsid w:val="005D3C20"/>
    <w:rsid w:val="005D3DDA"/>
    <w:rsid w:val="005D3F8D"/>
    <w:rsid w:val="005D46DE"/>
    <w:rsid w:val="005D5BD4"/>
    <w:rsid w:val="005D5C11"/>
    <w:rsid w:val="005D60A2"/>
    <w:rsid w:val="005D67DB"/>
    <w:rsid w:val="005D6FC8"/>
    <w:rsid w:val="005E01C0"/>
    <w:rsid w:val="005E0510"/>
    <w:rsid w:val="005E054F"/>
    <w:rsid w:val="005E0799"/>
    <w:rsid w:val="005E0C3B"/>
    <w:rsid w:val="005E1464"/>
    <w:rsid w:val="005E1F3A"/>
    <w:rsid w:val="005E2941"/>
    <w:rsid w:val="005E2FE3"/>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654"/>
    <w:rsid w:val="005F585D"/>
    <w:rsid w:val="005F5B98"/>
    <w:rsid w:val="005F5BE9"/>
    <w:rsid w:val="005F614C"/>
    <w:rsid w:val="005F65C5"/>
    <w:rsid w:val="005F68EF"/>
    <w:rsid w:val="005F7587"/>
    <w:rsid w:val="005F7885"/>
    <w:rsid w:val="005F7BF5"/>
    <w:rsid w:val="0060037A"/>
    <w:rsid w:val="00600C05"/>
    <w:rsid w:val="00600F70"/>
    <w:rsid w:val="006015AD"/>
    <w:rsid w:val="0060222D"/>
    <w:rsid w:val="006024CF"/>
    <w:rsid w:val="00602AEE"/>
    <w:rsid w:val="00602CC1"/>
    <w:rsid w:val="00603219"/>
    <w:rsid w:val="00603624"/>
    <w:rsid w:val="00604574"/>
    <w:rsid w:val="00604CE0"/>
    <w:rsid w:val="00605366"/>
    <w:rsid w:val="006055FA"/>
    <w:rsid w:val="00605ACF"/>
    <w:rsid w:val="006073AD"/>
    <w:rsid w:val="0060747D"/>
    <w:rsid w:val="00607596"/>
    <w:rsid w:val="00607978"/>
    <w:rsid w:val="00607BCC"/>
    <w:rsid w:val="00607F95"/>
    <w:rsid w:val="00610C32"/>
    <w:rsid w:val="00610E99"/>
    <w:rsid w:val="00611178"/>
    <w:rsid w:val="0061186C"/>
    <w:rsid w:val="00611A2A"/>
    <w:rsid w:val="00611D20"/>
    <w:rsid w:val="00611E42"/>
    <w:rsid w:val="00611EE6"/>
    <w:rsid w:val="00611FB0"/>
    <w:rsid w:val="0061233F"/>
    <w:rsid w:val="006128A0"/>
    <w:rsid w:val="00613F1A"/>
    <w:rsid w:val="00614389"/>
    <w:rsid w:val="00614A48"/>
    <w:rsid w:val="00614D42"/>
    <w:rsid w:val="00614D4F"/>
    <w:rsid w:val="006156E1"/>
    <w:rsid w:val="00615E8F"/>
    <w:rsid w:val="00615FC6"/>
    <w:rsid w:val="00616337"/>
    <w:rsid w:val="00616643"/>
    <w:rsid w:val="00616A68"/>
    <w:rsid w:val="00616B65"/>
    <w:rsid w:val="00617348"/>
    <w:rsid w:val="0062034F"/>
    <w:rsid w:val="006205EE"/>
    <w:rsid w:val="006206A1"/>
    <w:rsid w:val="006208FB"/>
    <w:rsid w:val="00620AF6"/>
    <w:rsid w:val="00621246"/>
    <w:rsid w:val="006215CF"/>
    <w:rsid w:val="006218E6"/>
    <w:rsid w:val="00621CCF"/>
    <w:rsid w:val="006220CD"/>
    <w:rsid w:val="0062239B"/>
    <w:rsid w:val="0062243D"/>
    <w:rsid w:val="006228D0"/>
    <w:rsid w:val="00622B83"/>
    <w:rsid w:val="00623321"/>
    <w:rsid w:val="006249C0"/>
    <w:rsid w:val="00625019"/>
    <w:rsid w:val="006250C0"/>
    <w:rsid w:val="006253D9"/>
    <w:rsid w:val="00625590"/>
    <w:rsid w:val="00625834"/>
    <w:rsid w:val="0062597B"/>
    <w:rsid w:val="00625A8C"/>
    <w:rsid w:val="00625F6C"/>
    <w:rsid w:val="0062649D"/>
    <w:rsid w:val="00626B75"/>
    <w:rsid w:val="00626C97"/>
    <w:rsid w:val="0062719D"/>
    <w:rsid w:val="006274F5"/>
    <w:rsid w:val="006308FD"/>
    <w:rsid w:val="00630E00"/>
    <w:rsid w:val="00631402"/>
    <w:rsid w:val="0063152D"/>
    <w:rsid w:val="00631A2E"/>
    <w:rsid w:val="006322C6"/>
    <w:rsid w:val="00632DFF"/>
    <w:rsid w:val="00632FEB"/>
    <w:rsid w:val="006336E3"/>
    <w:rsid w:val="00633A30"/>
    <w:rsid w:val="00633D18"/>
    <w:rsid w:val="00633F1C"/>
    <w:rsid w:val="00634262"/>
    <w:rsid w:val="006345FA"/>
    <w:rsid w:val="006348A9"/>
    <w:rsid w:val="0063503A"/>
    <w:rsid w:val="00635246"/>
    <w:rsid w:val="00635B7D"/>
    <w:rsid w:val="00636339"/>
    <w:rsid w:val="006363DB"/>
    <w:rsid w:val="00636C2B"/>
    <w:rsid w:val="006374E1"/>
    <w:rsid w:val="00637E00"/>
    <w:rsid w:val="00637F77"/>
    <w:rsid w:val="00640F5C"/>
    <w:rsid w:val="006410BC"/>
    <w:rsid w:val="006415E6"/>
    <w:rsid w:val="006418CD"/>
    <w:rsid w:val="00642193"/>
    <w:rsid w:val="006426E2"/>
    <w:rsid w:val="00642A25"/>
    <w:rsid w:val="00642BB9"/>
    <w:rsid w:val="006430E1"/>
    <w:rsid w:val="00643234"/>
    <w:rsid w:val="00643998"/>
    <w:rsid w:val="00643B8D"/>
    <w:rsid w:val="00643CE5"/>
    <w:rsid w:val="006443C2"/>
    <w:rsid w:val="00644D52"/>
    <w:rsid w:val="00645100"/>
    <w:rsid w:val="00645349"/>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8DD"/>
    <w:rsid w:val="00651BA6"/>
    <w:rsid w:val="00652278"/>
    <w:rsid w:val="006527E2"/>
    <w:rsid w:val="006528F2"/>
    <w:rsid w:val="00652916"/>
    <w:rsid w:val="006530B8"/>
    <w:rsid w:val="00653183"/>
    <w:rsid w:val="00653200"/>
    <w:rsid w:val="0065339A"/>
    <w:rsid w:val="00653AAC"/>
    <w:rsid w:val="00653E36"/>
    <w:rsid w:val="0065462A"/>
    <w:rsid w:val="006547DA"/>
    <w:rsid w:val="00654B92"/>
    <w:rsid w:val="00654DFB"/>
    <w:rsid w:val="00654FEF"/>
    <w:rsid w:val="006559EC"/>
    <w:rsid w:val="00655DBE"/>
    <w:rsid w:val="00655F3B"/>
    <w:rsid w:val="00656320"/>
    <w:rsid w:val="00656429"/>
    <w:rsid w:val="00656470"/>
    <w:rsid w:val="00656BD3"/>
    <w:rsid w:val="00657052"/>
    <w:rsid w:val="006570EF"/>
    <w:rsid w:val="00657159"/>
    <w:rsid w:val="0065794E"/>
    <w:rsid w:val="006579A9"/>
    <w:rsid w:val="006602DA"/>
    <w:rsid w:val="00660373"/>
    <w:rsid w:val="00660770"/>
    <w:rsid w:val="00660968"/>
    <w:rsid w:val="00661033"/>
    <w:rsid w:val="006615FA"/>
    <w:rsid w:val="006619D2"/>
    <w:rsid w:val="0066241B"/>
    <w:rsid w:val="00663AEA"/>
    <w:rsid w:val="00663C09"/>
    <w:rsid w:val="00664091"/>
    <w:rsid w:val="006649D2"/>
    <w:rsid w:val="00664A95"/>
    <w:rsid w:val="00664BFE"/>
    <w:rsid w:val="00664E38"/>
    <w:rsid w:val="00664E91"/>
    <w:rsid w:val="0066530D"/>
    <w:rsid w:val="006657CB"/>
    <w:rsid w:val="00665B8E"/>
    <w:rsid w:val="00665BAD"/>
    <w:rsid w:val="00665CF5"/>
    <w:rsid w:val="006669DC"/>
    <w:rsid w:val="00666E9C"/>
    <w:rsid w:val="006673F3"/>
    <w:rsid w:val="00667512"/>
    <w:rsid w:val="00667599"/>
    <w:rsid w:val="006676C9"/>
    <w:rsid w:val="006704E7"/>
    <w:rsid w:val="00670546"/>
    <w:rsid w:val="00670DAF"/>
    <w:rsid w:val="006713B0"/>
    <w:rsid w:val="006714E0"/>
    <w:rsid w:val="0067155D"/>
    <w:rsid w:val="00672E3F"/>
    <w:rsid w:val="00673370"/>
    <w:rsid w:val="006737AA"/>
    <w:rsid w:val="006738CB"/>
    <w:rsid w:val="00673FA3"/>
    <w:rsid w:val="00674044"/>
    <w:rsid w:val="0067439B"/>
    <w:rsid w:val="00674FFA"/>
    <w:rsid w:val="00675604"/>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5C5A"/>
    <w:rsid w:val="0068606D"/>
    <w:rsid w:val="0068736C"/>
    <w:rsid w:val="00690BDB"/>
    <w:rsid w:val="00690C80"/>
    <w:rsid w:val="0069141B"/>
    <w:rsid w:val="0069167D"/>
    <w:rsid w:val="00692F51"/>
    <w:rsid w:val="006931E5"/>
    <w:rsid w:val="00693853"/>
    <w:rsid w:val="00693A55"/>
    <w:rsid w:val="0069478B"/>
    <w:rsid w:val="00694A68"/>
    <w:rsid w:val="00694FC2"/>
    <w:rsid w:val="0069594D"/>
    <w:rsid w:val="00695AE8"/>
    <w:rsid w:val="00695BFB"/>
    <w:rsid w:val="00695F79"/>
    <w:rsid w:val="0069607B"/>
    <w:rsid w:val="006968A6"/>
    <w:rsid w:val="00697A74"/>
    <w:rsid w:val="00697F05"/>
    <w:rsid w:val="006A03A0"/>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57F2"/>
    <w:rsid w:val="006A66D0"/>
    <w:rsid w:val="006A6A6C"/>
    <w:rsid w:val="006A72D6"/>
    <w:rsid w:val="006A73EF"/>
    <w:rsid w:val="006A78A0"/>
    <w:rsid w:val="006A79D9"/>
    <w:rsid w:val="006A7B61"/>
    <w:rsid w:val="006B03F8"/>
    <w:rsid w:val="006B045E"/>
    <w:rsid w:val="006B0509"/>
    <w:rsid w:val="006B0671"/>
    <w:rsid w:val="006B0DB5"/>
    <w:rsid w:val="006B1A08"/>
    <w:rsid w:val="006B1CB3"/>
    <w:rsid w:val="006B1E53"/>
    <w:rsid w:val="006B1F60"/>
    <w:rsid w:val="006B2895"/>
    <w:rsid w:val="006B305E"/>
    <w:rsid w:val="006B31D9"/>
    <w:rsid w:val="006B31DB"/>
    <w:rsid w:val="006B337D"/>
    <w:rsid w:val="006B422B"/>
    <w:rsid w:val="006B443D"/>
    <w:rsid w:val="006B48EA"/>
    <w:rsid w:val="006B4A01"/>
    <w:rsid w:val="006B50FC"/>
    <w:rsid w:val="006B560B"/>
    <w:rsid w:val="006B59A1"/>
    <w:rsid w:val="006B614F"/>
    <w:rsid w:val="006B62F0"/>
    <w:rsid w:val="006B64C3"/>
    <w:rsid w:val="006B6D1D"/>
    <w:rsid w:val="006B6E88"/>
    <w:rsid w:val="006B6EA4"/>
    <w:rsid w:val="006B70E0"/>
    <w:rsid w:val="006B7DF1"/>
    <w:rsid w:val="006B7E0C"/>
    <w:rsid w:val="006B7E6A"/>
    <w:rsid w:val="006C1E11"/>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3DF"/>
    <w:rsid w:val="006C6DAB"/>
    <w:rsid w:val="006C7263"/>
    <w:rsid w:val="006C7B74"/>
    <w:rsid w:val="006D061F"/>
    <w:rsid w:val="006D085B"/>
    <w:rsid w:val="006D0A34"/>
    <w:rsid w:val="006D16BA"/>
    <w:rsid w:val="006D21C4"/>
    <w:rsid w:val="006D279C"/>
    <w:rsid w:val="006D2938"/>
    <w:rsid w:val="006D2D17"/>
    <w:rsid w:val="006D3123"/>
    <w:rsid w:val="006D31DC"/>
    <w:rsid w:val="006D3764"/>
    <w:rsid w:val="006D3AF3"/>
    <w:rsid w:val="006D4185"/>
    <w:rsid w:val="006D453B"/>
    <w:rsid w:val="006D4D04"/>
    <w:rsid w:val="006D51FA"/>
    <w:rsid w:val="006D5511"/>
    <w:rsid w:val="006D5671"/>
    <w:rsid w:val="006D5D09"/>
    <w:rsid w:val="006D5E3B"/>
    <w:rsid w:val="006D6132"/>
    <w:rsid w:val="006D620F"/>
    <w:rsid w:val="006D62CC"/>
    <w:rsid w:val="006D74FC"/>
    <w:rsid w:val="006D7B4B"/>
    <w:rsid w:val="006D7B7B"/>
    <w:rsid w:val="006D7B9F"/>
    <w:rsid w:val="006E0078"/>
    <w:rsid w:val="006E0101"/>
    <w:rsid w:val="006E0990"/>
    <w:rsid w:val="006E0E82"/>
    <w:rsid w:val="006E13CC"/>
    <w:rsid w:val="006E1461"/>
    <w:rsid w:val="006E1743"/>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0DB"/>
    <w:rsid w:val="006F2397"/>
    <w:rsid w:val="006F2CBC"/>
    <w:rsid w:val="006F3176"/>
    <w:rsid w:val="006F35DB"/>
    <w:rsid w:val="006F40A8"/>
    <w:rsid w:val="006F41F2"/>
    <w:rsid w:val="006F4359"/>
    <w:rsid w:val="006F47B7"/>
    <w:rsid w:val="006F4BB3"/>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772"/>
    <w:rsid w:val="00701905"/>
    <w:rsid w:val="00701F7D"/>
    <w:rsid w:val="00702789"/>
    <w:rsid w:val="0070299E"/>
    <w:rsid w:val="00703591"/>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10EAC"/>
    <w:rsid w:val="00711234"/>
    <w:rsid w:val="00711475"/>
    <w:rsid w:val="00711841"/>
    <w:rsid w:val="00711A95"/>
    <w:rsid w:val="00711F71"/>
    <w:rsid w:val="007123B7"/>
    <w:rsid w:val="007123F8"/>
    <w:rsid w:val="007130E2"/>
    <w:rsid w:val="00713547"/>
    <w:rsid w:val="00713A3F"/>
    <w:rsid w:val="00714536"/>
    <w:rsid w:val="00714990"/>
    <w:rsid w:val="00714F9A"/>
    <w:rsid w:val="00714FB8"/>
    <w:rsid w:val="00715233"/>
    <w:rsid w:val="007157C3"/>
    <w:rsid w:val="007159E7"/>
    <w:rsid w:val="00716BB5"/>
    <w:rsid w:val="00716D0D"/>
    <w:rsid w:val="00716E80"/>
    <w:rsid w:val="00716F5C"/>
    <w:rsid w:val="00717798"/>
    <w:rsid w:val="00717982"/>
    <w:rsid w:val="00717A3B"/>
    <w:rsid w:val="00717BBB"/>
    <w:rsid w:val="007204BA"/>
    <w:rsid w:val="00720715"/>
    <w:rsid w:val="007207F2"/>
    <w:rsid w:val="00720D15"/>
    <w:rsid w:val="00720D1B"/>
    <w:rsid w:val="00720FDA"/>
    <w:rsid w:val="00721021"/>
    <w:rsid w:val="00721823"/>
    <w:rsid w:val="007219B6"/>
    <w:rsid w:val="00721BA1"/>
    <w:rsid w:val="007223DD"/>
    <w:rsid w:val="007228E2"/>
    <w:rsid w:val="00722A7C"/>
    <w:rsid w:val="00722FFF"/>
    <w:rsid w:val="007234CA"/>
    <w:rsid w:val="00724150"/>
    <w:rsid w:val="007243AC"/>
    <w:rsid w:val="007246A9"/>
    <w:rsid w:val="00724C12"/>
    <w:rsid w:val="00725445"/>
    <w:rsid w:val="007259D9"/>
    <w:rsid w:val="00725D3B"/>
    <w:rsid w:val="00725FA0"/>
    <w:rsid w:val="00726297"/>
    <w:rsid w:val="007278AB"/>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30B"/>
    <w:rsid w:val="007364D8"/>
    <w:rsid w:val="007365D3"/>
    <w:rsid w:val="00736EA9"/>
    <w:rsid w:val="007375DF"/>
    <w:rsid w:val="00737F6E"/>
    <w:rsid w:val="00740075"/>
    <w:rsid w:val="007400EF"/>
    <w:rsid w:val="007402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2A9"/>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700D"/>
    <w:rsid w:val="00757CD2"/>
    <w:rsid w:val="00757DF8"/>
    <w:rsid w:val="0076081B"/>
    <w:rsid w:val="00760D38"/>
    <w:rsid w:val="00761506"/>
    <w:rsid w:val="00761727"/>
    <w:rsid w:val="007617EC"/>
    <w:rsid w:val="00761CC5"/>
    <w:rsid w:val="00762587"/>
    <w:rsid w:val="007626EE"/>
    <w:rsid w:val="00762758"/>
    <w:rsid w:val="00762797"/>
    <w:rsid w:val="00762B70"/>
    <w:rsid w:val="007630CE"/>
    <w:rsid w:val="007633F9"/>
    <w:rsid w:val="00763F3A"/>
    <w:rsid w:val="0076413A"/>
    <w:rsid w:val="007647B3"/>
    <w:rsid w:val="00764857"/>
    <w:rsid w:val="00764912"/>
    <w:rsid w:val="00764FEB"/>
    <w:rsid w:val="007656E6"/>
    <w:rsid w:val="00765A28"/>
    <w:rsid w:val="0076673D"/>
    <w:rsid w:val="007668C7"/>
    <w:rsid w:val="007675F0"/>
    <w:rsid w:val="00767B1F"/>
    <w:rsid w:val="00770A59"/>
    <w:rsid w:val="00770E3A"/>
    <w:rsid w:val="00771A89"/>
    <w:rsid w:val="00771AFF"/>
    <w:rsid w:val="0077209B"/>
    <w:rsid w:val="0077270C"/>
    <w:rsid w:val="0077397A"/>
    <w:rsid w:val="00773988"/>
    <w:rsid w:val="00773B29"/>
    <w:rsid w:val="00773D68"/>
    <w:rsid w:val="0077477C"/>
    <w:rsid w:val="00774FB0"/>
    <w:rsid w:val="0077534E"/>
    <w:rsid w:val="007758EC"/>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77F6E"/>
    <w:rsid w:val="00780759"/>
    <w:rsid w:val="00780933"/>
    <w:rsid w:val="00780E9C"/>
    <w:rsid w:val="00780EC0"/>
    <w:rsid w:val="0078107B"/>
    <w:rsid w:val="0078146A"/>
    <w:rsid w:val="007817AC"/>
    <w:rsid w:val="00781A1C"/>
    <w:rsid w:val="00781F30"/>
    <w:rsid w:val="007824E7"/>
    <w:rsid w:val="00783421"/>
    <w:rsid w:val="0078368F"/>
    <w:rsid w:val="0078440E"/>
    <w:rsid w:val="00784449"/>
    <w:rsid w:val="00784981"/>
    <w:rsid w:val="00785B13"/>
    <w:rsid w:val="00786532"/>
    <w:rsid w:val="0078654C"/>
    <w:rsid w:val="007865E0"/>
    <w:rsid w:val="007867A7"/>
    <w:rsid w:val="00786B94"/>
    <w:rsid w:val="00787108"/>
    <w:rsid w:val="007877BE"/>
    <w:rsid w:val="007878E9"/>
    <w:rsid w:val="00787C06"/>
    <w:rsid w:val="00790665"/>
    <w:rsid w:val="007908C9"/>
    <w:rsid w:val="00790B1F"/>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B7A"/>
    <w:rsid w:val="007A2C7B"/>
    <w:rsid w:val="007A330B"/>
    <w:rsid w:val="007A3608"/>
    <w:rsid w:val="007A3959"/>
    <w:rsid w:val="007A4761"/>
    <w:rsid w:val="007A4A4D"/>
    <w:rsid w:val="007A4B67"/>
    <w:rsid w:val="007A4FEF"/>
    <w:rsid w:val="007A5332"/>
    <w:rsid w:val="007A5F3E"/>
    <w:rsid w:val="007A6145"/>
    <w:rsid w:val="007A6396"/>
    <w:rsid w:val="007A63BE"/>
    <w:rsid w:val="007A6775"/>
    <w:rsid w:val="007A6950"/>
    <w:rsid w:val="007A6AF4"/>
    <w:rsid w:val="007A6EF9"/>
    <w:rsid w:val="007A7269"/>
    <w:rsid w:val="007A7560"/>
    <w:rsid w:val="007A75AE"/>
    <w:rsid w:val="007A7909"/>
    <w:rsid w:val="007A7D62"/>
    <w:rsid w:val="007B0754"/>
    <w:rsid w:val="007B0759"/>
    <w:rsid w:val="007B0DAB"/>
    <w:rsid w:val="007B0F44"/>
    <w:rsid w:val="007B10ED"/>
    <w:rsid w:val="007B1E7A"/>
    <w:rsid w:val="007B2E30"/>
    <w:rsid w:val="007B38F9"/>
    <w:rsid w:val="007B4548"/>
    <w:rsid w:val="007B45BB"/>
    <w:rsid w:val="007B47FC"/>
    <w:rsid w:val="007B4ACB"/>
    <w:rsid w:val="007B4F33"/>
    <w:rsid w:val="007B5730"/>
    <w:rsid w:val="007B578D"/>
    <w:rsid w:val="007B59C8"/>
    <w:rsid w:val="007B5CE6"/>
    <w:rsid w:val="007B61F3"/>
    <w:rsid w:val="007B6717"/>
    <w:rsid w:val="007B695B"/>
    <w:rsid w:val="007B6B86"/>
    <w:rsid w:val="007B7093"/>
    <w:rsid w:val="007B768C"/>
    <w:rsid w:val="007B772D"/>
    <w:rsid w:val="007B7C77"/>
    <w:rsid w:val="007B7EA4"/>
    <w:rsid w:val="007C005B"/>
    <w:rsid w:val="007C0063"/>
    <w:rsid w:val="007C028E"/>
    <w:rsid w:val="007C037A"/>
    <w:rsid w:val="007C0F2D"/>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9D4"/>
    <w:rsid w:val="007D4ECA"/>
    <w:rsid w:val="007D5448"/>
    <w:rsid w:val="007D56D7"/>
    <w:rsid w:val="007D58EB"/>
    <w:rsid w:val="007D611B"/>
    <w:rsid w:val="007D69C1"/>
    <w:rsid w:val="007D6F27"/>
    <w:rsid w:val="007E021E"/>
    <w:rsid w:val="007E0241"/>
    <w:rsid w:val="007E051A"/>
    <w:rsid w:val="007E053E"/>
    <w:rsid w:val="007E0861"/>
    <w:rsid w:val="007E0E5C"/>
    <w:rsid w:val="007E0FB5"/>
    <w:rsid w:val="007E1046"/>
    <w:rsid w:val="007E1284"/>
    <w:rsid w:val="007E1546"/>
    <w:rsid w:val="007E15ED"/>
    <w:rsid w:val="007E1C1D"/>
    <w:rsid w:val="007E1CBB"/>
    <w:rsid w:val="007E1E35"/>
    <w:rsid w:val="007E241C"/>
    <w:rsid w:val="007E287C"/>
    <w:rsid w:val="007E2929"/>
    <w:rsid w:val="007E2EAD"/>
    <w:rsid w:val="007E2EF7"/>
    <w:rsid w:val="007E2EFF"/>
    <w:rsid w:val="007E3559"/>
    <w:rsid w:val="007E3AC6"/>
    <w:rsid w:val="007E46CC"/>
    <w:rsid w:val="007E493C"/>
    <w:rsid w:val="007E51A7"/>
    <w:rsid w:val="007E54AA"/>
    <w:rsid w:val="007E56B1"/>
    <w:rsid w:val="007E58EB"/>
    <w:rsid w:val="007E5B89"/>
    <w:rsid w:val="007E67C8"/>
    <w:rsid w:val="007E6909"/>
    <w:rsid w:val="007E6C64"/>
    <w:rsid w:val="007E7E4A"/>
    <w:rsid w:val="007F0021"/>
    <w:rsid w:val="007F04A3"/>
    <w:rsid w:val="007F092F"/>
    <w:rsid w:val="007F125E"/>
    <w:rsid w:val="007F13FB"/>
    <w:rsid w:val="007F14AE"/>
    <w:rsid w:val="007F187F"/>
    <w:rsid w:val="007F236A"/>
    <w:rsid w:val="007F2628"/>
    <w:rsid w:val="007F2665"/>
    <w:rsid w:val="007F2BE4"/>
    <w:rsid w:val="007F3021"/>
    <w:rsid w:val="007F3F7D"/>
    <w:rsid w:val="007F4F74"/>
    <w:rsid w:val="007F5B15"/>
    <w:rsid w:val="007F5BF7"/>
    <w:rsid w:val="007F61D4"/>
    <w:rsid w:val="007F640C"/>
    <w:rsid w:val="007F671A"/>
    <w:rsid w:val="007F6735"/>
    <w:rsid w:val="007F6B7F"/>
    <w:rsid w:val="007F6D3D"/>
    <w:rsid w:val="007F6FDB"/>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9FB"/>
    <w:rsid w:val="00805C93"/>
    <w:rsid w:val="00805D35"/>
    <w:rsid w:val="0080616B"/>
    <w:rsid w:val="0080620C"/>
    <w:rsid w:val="00806238"/>
    <w:rsid w:val="0080723C"/>
    <w:rsid w:val="0080725E"/>
    <w:rsid w:val="00807668"/>
    <w:rsid w:val="0080793C"/>
    <w:rsid w:val="00807DF4"/>
    <w:rsid w:val="0081046E"/>
    <w:rsid w:val="0081071C"/>
    <w:rsid w:val="0081094D"/>
    <w:rsid w:val="00811055"/>
    <w:rsid w:val="00811B5F"/>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715"/>
    <w:rsid w:val="008209D0"/>
    <w:rsid w:val="00820E21"/>
    <w:rsid w:val="00820EF3"/>
    <w:rsid w:val="00821D69"/>
    <w:rsid w:val="00822043"/>
    <w:rsid w:val="008229A0"/>
    <w:rsid w:val="00822BC3"/>
    <w:rsid w:val="00824840"/>
    <w:rsid w:val="00824B23"/>
    <w:rsid w:val="00825074"/>
    <w:rsid w:val="00825628"/>
    <w:rsid w:val="00826030"/>
    <w:rsid w:val="0082605D"/>
    <w:rsid w:val="0082607D"/>
    <w:rsid w:val="008267A4"/>
    <w:rsid w:val="00827667"/>
    <w:rsid w:val="00830123"/>
    <w:rsid w:val="00830C65"/>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2E5E"/>
    <w:rsid w:val="0084340D"/>
    <w:rsid w:val="0084476B"/>
    <w:rsid w:val="00845AAD"/>
    <w:rsid w:val="008462ED"/>
    <w:rsid w:val="00846785"/>
    <w:rsid w:val="00846DE9"/>
    <w:rsid w:val="00847364"/>
    <w:rsid w:val="00847900"/>
    <w:rsid w:val="00847AE0"/>
    <w:rsid w:val="00847E7D"/>
    <w:rsid w:val="0085082E"/>
    <w:rsid w:val="00850E1F"/>
    <w:rsid w:val="00851172"/>
    <w:rsid w:val="00851695"/>
    <w:rsid w:val="00851A3E"/>
    <w:rsid w:val="00851CEB"/>
    <w:rsid w:val="008522AB"/>
    <w:rsid w:val="00852894"/>
    <w:rsid w:val="0085295A"/>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458"/>
    <w:rsid w:val="00860975"/>
    <w:rsid w:val="0086114F"/>
    <w:rsid w:val="008612B1"/>
    <w:rsid w:val="00861421"/>
    <w:rsid w:val="008616D2"/>
    <w:rsid w:val="00861BC5"/>
    <w:rsid w:val="00861F38"/>
    <w:rsid w:val="00862D29"/>
    <w:rsid w:val="008632AD"/>
    <w:rsid w:val="00863A9A"/>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6E98"/>
    <w:rsid w:val="00867116"/>
    <w:rsid w:val="00867E54"/>
    <w:rsid w:val="00870A29"/>
    <w:rsid w:val="00870AB3"/>
    <w:rsid w:val="00870BAC"/>
    <w:rsid w:val="00870E91"/>
    <w:rsid w:val="00870F6F"/>
    <w:rsid w:val="00871343"/>
    <w:rsid w:val="008717DA"/>
    <w:rsid w:val="00871B61"/>
    <w:rsid w:val="00871E28"/>
    <w:rsid w:val="0087205E"/>
    <w:rsid w:val="00872118"/>
    <w:rsid w:val="008726F6"/>
    <w:rsid w:val="00873164"/>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CBE"/>
    <w:rsid w:val="00880065"/>
    <w:rsid w:val="00880719"/>
    <w:rsid w:val="008807F4"/>
    <w:rsid w:val="0088081C"/>
    <w:rsid w:val="008817C3"/>
    <w:rsid w:val="008827B1"/>
    <w:rsid w:val="008834DF"/>
    <w:rsid w:val="00883A15"/>
    <w:rsid w:val="00883F59"/>
    <w:rsid w:val="0088444A"/>
    <w:rsid w:val="008847D1"/>
    <w:rsid w:val="00884CE6"/>
    <w:rsid w:val="0088563B"/>
    <w:rsid w:val="00885A93"/>
    <w:rsid w:val="00885BA6"/>
    <w:rsid w:val="00885F0E"/>
    <w:rsid w:val="008863E8"/>
    <w:rsid w:val="00887181"/>
    <w:rsid w:val="008876E9"/>
    <w:rsid w:val="00887CAC"/>
    <w:rsid w:val="00887E76"/>
    <w:rsid w:val="00890120"/>
    <w:rsid w:val="00890E5F"/>
    <w:rsid w:val="0089232F"/>
    <w:rsid w:val="0089244E"/>
    <w:rsid w:val="00892759"/>
    <w:rsid w:val="008927AA"/>
    <w:rsid w:val="00892C1F"/>
    <w:rsid w:val="008931A3"/>
    <w:rsid w:val="00893357"/>
    <w:rsid w:val="008935ED"/>
    <w:rsid w:val="00893A1B"/>
    <w:rsid w:val="00894B11"/>
    <w:rsid w:val="008953ED"/>
    <w:rsid w:val="008957E7"/>
    <w:rsid w:val="008959AD"/>
    <w:rsid w:val="00895A36"/>
    <w:rsid w:val="00895AE4"/>
    <w:rsid w:val="00895E78"/>
    <w:rsid w:val="00896208"/>
    <w:rsid w:val="00896AF6"/>
    <w:rsid w:val="00897C14"/>
    <w:rsid w:val="008A0339"/>
    <w:rsid w:val="008A08CC"/>
    <w:rsid w:val="008A0C82"/>
    <w:rsid w:val="008A0D54"/>
    <w:rsid w:val="008A192C"/>
    <w:rsid w:val="008A1DB6"/>
    <w:rsid w:val="008A2589"/>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2F72"/>
    <w:rsid w:val="008B3058"/>
    <w:rsid w:val="008B3157"/>
    <w:rsid w:val="008B3337"/>
    <w:rsid w:val="008B35F3"/>
    <w:rsid w:val="008B3695"/>
    <w:rsid w:val="008B424E"/>
    <w:rsid w:val="008B4CB8"/>
    <w:rsid w:val="008B53E9"/>
    <w:rsid w:val="008B5425"/>
    <w:rsid w:val="008B582B"/>
    <w:rsid w:val="008B639C"/>
    <w:rsid w:val="008C0258"/>
    <w:rsid w:val="008C1550"/>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7050"/>
    <w:rsid w:val="008C73C0"/>
    <w:rsid w:val="008C75CE"/>
    <w:rsid w:val="008C768B"/>
    <w:rsid w:val="008C79B9"/>
    <w:rsid w:val="008C7B66"/>
    <w:rsid w:val="008D00A7"/>
    <w:rsid w:val="008D0787"/>
    <w:rsid w:val="008D0C12"/>
    <w:rsid w:val="008D15E7"/>
    <w:rsid w:val="008D1840"/>
    <w:rsid w:val="008D1D57"/>
    <w:rsid w:val="008D1F70"/>
    <w:rsid w:val="008D1FF5"/>
    <w:rsid w:val="008D22AD"/>
    <w:rsid w:val="008D2619"/>
    <w:rsid w:val="008D2B36"/>
    <w:rsid w:val="008D3365"/>
    <w:rsid w:val="008D3758"/>
    <w:rsid w:val="008D3916"/>
    <w:rsid w:val="008D3D13"/>
    <w:rsid w:val="008D4301"/>
    <w:rsid w:val="008D43C2"/>
    <w:rsid w:val="008D4DD2"/>
    <w:rsid w:val="008D54A8"/>
    <w:rsid w:val="008D5E30"/>
    <w:rsid w:val="008D6AD6"/>
    <w:rsid w:val="008D6DAE"/>
    <w:rsid w:val="008D7624"/>
    <w:rsid w:val="008E05D5"/>
    <w:rsid w:val="008E13D7"/>
    <w:rsid w:val="008E163D"/>
    <w:rsid w:val="008E1D74"/>
    <w:rsid w:val="008E2012"/>
    <w:rsid w:val="008E3397"/>
    <w:rsid w:val="008E3739"/>
    <w:rsid w:val="008E3869"/>
    <w:rsid w:val="008E40EA"/>
    <w:rsid w:val="008E56A9"/>
    <w:rsid w:val="008E57E3"/>
    <w:rsid w:val="008E73CB"/>
    <w:rsid w:val="008E77D6"/>
    <w:rsid w:val="008E798A"/>
    <w:rsid w:val="008E7B54"/>
    <w:rsid w:val="008E7D71"/>
    <w:rsid w:val="008F002C"/>
    <w:rsid w:val="008F0C74"/>
    <w:rsid w:val="008F2804"/>
    <w:rsid w:val="008F2D15"/>
    <w:rsid w:val="008F378E"/>
    <w:rsid w:val="008F37CA"/>
    <w:rsid w:val="008F42A3"/>
    <w:rsid w:val="008F4617"/>
    <w:rsid w:val="008F4627"/>
    <w:rsid w:val="008F4DE2"/>
    <w:rsid w:val="008F54AE"/>
    <w:rsid w:val="008F654F"/>
    <w:rsid w:val="008F6987"/>
    <w:rsid w:val="0090045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67F2"/>
    <w:rsid w:val="00907D6D"/>
    <w:rsid w:val="00910881"/>
    <w:rsid w:val="00911155"/>
    <w:rsid w:val="00911263"/>
    <w:rsid w:val="009113A4"/>
    <w:rsid w:val="00911BD2"/>
    <w:rsid w:val="00912643"/>
    <w:rsid w:val="009127EC"/>
    <w:rsid w:val="00912D93"/>
    <w:rsid w:val="00912F9F"/>
    <w:rsid w:val="0091352B"/>
    <w:rsid w:val="009135C8"/>
    <w:rsid w:val="009137CF"/>
    <w:rsid w:val="00913EE5"/>
    <w:rsid w:val="00914A71"/>
    <w:rsid w:val="00914D0E"/>
    <w:rsid w:val="00915004"/>
    <w:rsid w:val="0091523C"/>
    <w:rsid w:val="009158B2"/>
    <w:rsid w:val="00915E6A"/>
    <w:rsid w:val="0091610D"/>
    <w:rsid w:val="00916242"/>
    <w:rsid w:val="0091684F"/>
    <w:rsid w:val="00916C99"/>
    <w:rsid w:val="00916D42"/>
    <w:rsid w:val="00917686"/>
    <w:rsid w:val="00917FCE"/>
    <w:rsid w:val="009203E3"/>
    <w:rsid w:val="00920534"/>
    <w:rsid w:val="009206E6"/>
    <w:rsid w:val="0092070D"/>
    <w:rsid w:val="00920C11"/>
    <w:rsid w:val="00920CE6"/>
    <w:rsid w:val="00920EEA"/>
    <w:rsid w:val="00921728"/>
    <w:rsid w:val="009219FB"/>
    <w:rsid w:val="00922188"/>
    <w:rsid w:val="00922299"/>
    <w:rsid w:val="00922442"/>
    <w:rsid w:val="00922563"/>
    <w:rsid w:val="009227C9"/>
    <w:rsid w:val="00922822"/>
    <w:rsid w:val="00923016"/>
    <w:rsid w:val="00923192"/>
    <w:rsid w:val="00923982"/>
    <w:rsid w:val="00923FF4"/>
    <w:rsid w:val="0092484A"/>
    <w:rsid w:val="00924A25"/>
    <w:rsid w:val="00924C58"/>
    <w:rsid w:val="00924E89"/>
    <w:rsid w:val="009251E3"/>
    <w:rsid w:val="009256E6"/>
    <w:rsid w:val="00925CDE"/>
    <w:rsid w:val="00925FF6"/>
    <w:rsid w:val="009261BD"/>
    <w:rsid w:val="009274AF"/>
    <w:rsid w:val="00927FD3"/>
    <w:rsid w:val="0093027A"/>
    <w:rsid w:val="00930693"/>
    <w:rsid w:val="009306B9"/>
    <w:rsid w:val="00930CF1"/>
    <w:rsid w:val="00930CFB"/>
    <w:rsid w:val="00930F72"/>
    <w:rsid w:val="009317D6"/>
    <w:rsid w:val="00931C73"/>
    <w:rsid w:val="00933673"/>
    <w:rsid w:val="009338A3"/>
    <w:rsid w:val="00933DF4"/>
    <w:rsid w:val="00934EFA"/>
    <w:rsid w:val="009355D6"/>
    <w:rsid w:val="00935FA4"/>
    <w:rsid w:val="00935FBE"/>
    <w:rsid w:val="00936992"/>
    <w:rsid w:val="009369D0"/>
    <w:rsid w:val="00936A33"/>
    <w:rsid w:val="00936F27"/>
    <w:rsid w:val="009371F1"/>
    <w:rsid w:val="00937202"/>
    <w:rsid w:val="009374B8"/>
    <w:rsid w:val="009375F3"/>
    <w:rsid w:val="009378AA"/>
    <w:rsid w:val="0093795B"/>
    <w:rsid w:val="0094042F"/>
    <w:rsid w:val="009404F3"/>
    <w:rsid w:val="00940735"/>
    <w:rsid w:val="00940846"/>
    <w:rsid w:val="00941A02"/>
    <w:rsid w:val="0094230A"/>
    <w:rsid w:val="009428F4"/>
    <w:rsid w:val="009431C9"/>
    <w:rsid w:val="00943731"/>
    <w:rsid w:val="00943DA0"/>
    <w:rsid w:val="00944129"/>
    <w:rsid w:val="0094479E"/>
    <w:rsid w:val="00945598"/>
    <w:rsid w:val="00945C23"/>
    <w:rsid w:val="00945D43"/>
    <w:rsid w:val="00945FD5"/>
    <w:rsid w:val="0094636C"/>
    <w:rsid w:val="0094689D"/>
    <w:rsid w:val="00946FC1"/>
    <w:rsid w:val="00947A50"/>
    <w:rsid w:val="00947FEB"/>
    <w:rsid w:val="009508EB"/>
    <w:rsid w:val="00951C02"/>
    <w:rsid w:val="00952F8C"/>
    <w:rsid w:val="009537B5"/>
    <w:rsid w:val="0095384C"/>
    <w:rsid w:val="00953FE9"/>
    <w:rsid w:val="00954136"/>
    <w:rsid w:val="009556C5"/>
    <w:rsid w:val="00955A25"/>
    <w:rsid w:val="0095688F"/>
    <w:rsid w:val="009568A7"/>
    <w:rsid w:val="00956A89"/>
    <w:rsid w:val="00956AB4"/>
    <w:rsid w:val="00956C72"/>
    <w:rsid w:val="00956E5B"/>
    <w:rsid w:val="00956F0D"/>
    <w:rsid w:val="00956F1A"/>
    <w:rsid w:val="00957335"/>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32"/>
    <w:rsid w:val="00963D3C"/>
    <w:rsid w:val="00963FF9"/>
    <w:rsid w:val="00964CF2"/>
    <w:rsid w:val="0096529A"/>
    <w:rsid w:val="00965907"/>
    <w:rsid w:val="00965BC0"/>
    <w:rsid w:val="00965C4B"/>
    <w:rsid w:val="00965EE9"/>
    <w:rsid w:val="00965F26"/>
    <w:rsid w:val="009661D7"/>
    <w:rsid w:val="009667AB"/>
    <w:rsid w:val="0096686C"/>
    <w:rsid w:val="00966AC3"/>
    <w:rsid w:val="00966D04"/>
    <w:rsid w:val="009673EA"/>
    <w:rsid w:val="009675CE"/>
    <w:rsid w:val="009677EA"/>
    <w:rsid w:val="00967B85"/>
    <w:rsid w:val="00967E84"/>
    <w:rsid w:val="00967EF1"/>
    <w:rsid w:val="00970984"/>
    <w:rsid w:val="00970D81"/>
    <w:rsid w:val="009716A9"/>
    <w:rsid w:val="00971D8D"/>
    <w:rsid w:val="009720BC"/>
    <w:rsid w:val="00972B5F"/>
    <w:rsid w:val="00972F05"/>
    <w:rsid w:val="00973065"/>
    <w:rsid w:val="009733FD"/>
    <w:rsid w:val="009735AD"/>
    <w:rsid w:val="009737CF"/>
    <w:rsid w:val="00973ACE"/>
    <w:rsid w:val="00973B1F"/>
    <w:rsid w:val="0097435E"/>
    <w:rsid w:val="00975459"/>
    <w:rsid w:val="00975DE1"/>
    <w:rsid w:val="0097693D"/>
    <w:rsid w:val="00977098"/>
    <w:rsid w:val="00977252"/>
    <w:rsid w:val="00977372"/>
    <w:rsid w:val="00977781"/>
    <w:rsid w:val="009778D3"/>
    <w:rsid w:val="00977EEB"/>
    <w:rsid w:val="00980BDE"/>
    <w:rsid w:val="00980BE0"/>
    <w:rsid w:val="00980FD7"/>
    <w:rsid w:val="0098115C"/>
    <w:rsid w:val="00981773"/>
    <w:rsid w:val="0098226C"/>
    <w:rsid w:val="00982438"/>
    <w:rsid w:val="00983159"/>
    <w:rsid w:val="009833E5"/>
    <w:rsid w:val="00983672"/>
    <w:rsid w:val="00983784"/>
    <w:rsid w:val="00983BD2"/>
    <w:rsid w:val="00983BD7"/>
    <w:rsid w:val="00983CB7"/>
    <w:rsid w:val="00983D0F"/>
    <w:rsid w:val="00984597"/>
    <w:rsid w:val="009846C4"/>
    <w:rsid w:val="00984882"/>
    <w:rsid w:val="00984949"/>
    <w:rsid w:val="00984975"/>
    <w:rsid w:val="009849D7"/>
    <w:rsid w:val="00984B74"/>
    <w:rsid w:val="009850FA"/>
    <w:rsid w:val="009854AD"/>
    <w:rsid w:val="009858BF"/>
    <w:rsid w:val="0098593E"/>
    <w:rsid w:val="00985A52"/>
    <w:rsid w:val="009860EC"/>
    <w:rsid w:val="0098616B"/>
    <w:rsid w:val="009863AA"/>
    <w:rsid w:val="00986D83"/>
    <w:rsid w:val="009870F2"/>
    <w:rsid w:val="009877DE"/>
    <w:rsid w:val="009900FC"/>
    <w:rsid w:val="00990171"/>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3262"/>
    <w:rsid w:val="00993DC6"/>
    <w:rsid w:val="00994761"/>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400E"/>
    <w:rsid w:val="009A4507"/>
    <w:rsid w:val="009A46BA"/>
    <w:rsid w:val="009A55F0"/>
    <w:rsid w:val="009A5EFE"/>
    <w:rsid w:val="009A5F0E"/>
    <w:rsid w:val="009A6BE2"/>
    <w:rsid w:val="009A6F8F"/>
    <w:rsid w:val="009A766D"/>
    <w:rsid w:val="009A7986"/>
    <w:rsid w:val="009B0351"/>
    <w:rsid w:val="009B0E08"/>
    <w:rsid w:val="009B1EA0"/>
    <w:rsid w:val="009B25F9"/>
    <w:rsid w:val="009B2BE7"/>
    <w:rsid w:val="009B3291"/>
    <w:rsid w:val="009B338D"/>
    <w:rsid w:val="009B3468"/>
    <w:rsid w:val="009B3CB1"/>
    <w:rsid w:val="009B3CBE"/>
    <w:rsid w:val="009B3CC9"/>
    <w:rsid w:val="009B3F36"/>
    <w:rsid w:val="009B40D8"/>
    <w:rsid w:val="009B418C"/>
    <w:rsid w:val="009B4EF8"/>
    <w:rsid w:val="009B4F2C"/>
    <w:rsid w:val="009B5775"/>
    <w:rsid w:val="009B5DAB"/>
    <w:rsid w:val="009B620F"/>
    <w:rsid w:val="009B6865"/>
    <w:rsid w:val="009B6BEA"/>
    <w:rsid w:val="009B6E9B"/>
    <w:rsid w:val="009B7DC0"/>
    <w:rsid w:val="009C129C"/>
    <w:rsid w:val="009C1681"/>
    <w:rsid w:val="009C1C73"/>
    <w:rsid w:val="009C223A"/>
    <w:rsid w:val="009C23EF"/>
    <w:rsid w:val="009C263A"/>
    <w:rsid w:val="009C27AC"/>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10E1"/>
    <w:rsid w:val="009D28FD"/>
    <w:rsid w:val="009D3873"/>
    <w:rsid w:val="009D3A94"/>
    <w:rsid w:val="009D3B0C"/>
    <w:rsid w:val="009D450D"/>
    <w:rsid w:val="009D500C"/>
    <w:rsid w:val="009D5FD4"/>
    <w:rsid w:val="009D676A"/>
    <w:rsid w:val="009D67EC"/>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3D4C"/>
    <w:rsid w:val="009E4784"/>
    <w:rsid w:val="009E4BEE"/>
    <w:rsid w:val="009E4CE6"/>
    <w:rsid w:val="009E5142"/>
    <w:rsid w:val="009E567F"/>
    <w:rsid w:val="009E5885"/>
    <w:rsid w:val="009E59CE"/>
    <w:rsid w:val="009E5B8A"/>
    <w:rsid w:val="009E5F56"/>
    <w:rsid w:val="009E6223"/>
    <w:rsid w:val="009E64E5"/>
    <w:rsid w:val="009E6C11"/>
    <w:rsid w:val="009E6EFB"/>
    <w:rsid w:val="009E6F7E"/>
    <w:rsid w:val="009E7658"/>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0CB2"/>
    <w:rsid w:val="00A010E9"/>
    <w:rsid w:val="00A01434"/>
    <w:rsid w:val="00A0188F"/>
    <w:rsid w:val="00A01DD0"/>
    <w:rsid w:val="00A0211A"/>
    <w:rsid w:val="00A023E0"/>
    <w:rsid w:val="00A023EC"/>
    <w:rsid w:val="00A025E2"/>
    <w:rsid w:val="00A030B9"/>
    <w:rsid w:val="00A039D1"/>
    <w:rsid w:val="00A03CB1"/>
    <w:rsid w:val="00A03D40"/>
    <w:rsid w:val="00A03F09"/>
    <w:rsid w:val="00A04D8B"/>
    <w:rsid w:val="00A04F19"/>
    <w:rsid w:val="00A04F8B"/>
    <w:rsid w:val="00A050AE"/>
    <w:rsid w:val="00A05330"/>
    <w:rsid w:val="00A05559"/>
    <w:rsid w:val="00A05A4A"/>
    <w:rsid w:val="00A05BAE"/>
    <w:rsid w:val="00A06103"/>
    <w:rsid w:val="00A06B16"/>
    <w:rsid w:val="00A06C89"/>
    <w:rsid w:val="00A06E55"/>
    <w:rsid w:val="00A1055C"/>
    <w:rsid w:val="00A10990"/>
    <w:rsid w:val="00A10DDE"/>
    <w:rsid w:val="00A10F16"/>
    <w:rsid w:val="00A121C1"/>
    <w:rsid w:val="00A1227E"/>
    <w:rsid w:val="00A1289F"/>
    <w:rsid w:val="00A12C25"/>
    <w:rsid w:val="00A12E0D"/>
    <w:rsid w:val="00A12F00"/>
    <w:rsid w:val="00A13287"/>
    <w:rsid w:val="00A13484"/>
    <w:rsid w:val="00A13924"/>
    <w:rsid w:val="00A14341"/>
    <w:rsid w:val="00A1435E"/>
    <w:rsid w:val="00A156DC"/>
    <w:rsid w:val="00A15FDD"/>
    <w:rsid w:val="00A1685E"/>
    <w:rsid w:val="00A169EB"/>
    <w:rsid w:val="00A16A23"/>
    <w:rsid w:val="00A17724"/>
    <w:rsid w:val="00A17BD5"/>
    <w:rsid w:val="00A20ABC"/>
    <w:rsid w:val="00A20E5F"/>
    <w:rsid w:val="00A21198"/>
    <w:rsid w:val="00A21347"/>
    <w:rsid w:val="00A21DAE"/>
    <w:rsid w:val="00A21EAC"/>
    <w:rsid w:val="00A21FC6"/>
    <w:rsid w:val="00A22403"/>
    <w:rsid w:val="00A2287A"/>
    <w:rsid w:val="00A22D3E"/>
    <w:rsid w:val="00A243B4"/>
    <w:rsid w:val="00A24742"/>
    <w:rsid w:val="00A24D5C"/>
    <w:rsid w:val="00A25F50"/>
    <w:rsid w:val="00A2614F"/>
    <w:rsid w:val="00A262D2"/>
    <w:rsid w:val="00A264DC"/>
    <w:rsid w:val="00A268BC"/>
    <w:rsid w:val="00A26C04"/>
    <w:rsid w:val="00A26EE1"/>
    <w:rsid w:val="00A2775F"/>
    <w:rsid w:val="00A27C35"/>
    <w:rsid w:val="00A3002C"/>
    <w:rsid w:val="00A30214"/>
    <w:rsid w:val="00A30A52"/>
    <w:rsid w:val="00A31394"/>
    <w:rsid w:val="00A320E5"/>
    <w:rsid w:val="00A32B3D"/>
    <w:rsid w:val="00A33007"/>
    <w:rsid w:val="00A33A96"/>
    <w:rsid w:val="00A34382"/>
    <w:rsid w:val="00A34496"/>
    <w:rsid w:val="00A34CA7"/>
    <w:rsid w:val="00A35060"/>
    <w:rsid w:val="00A3597D"/>
    <w:rsid w:val="00A36259"/>
    <w:rsid w:val="00A36270"/>
    <w:rsid w:val="00A366EE"/>
    <w:rsid w:val="00A368A8"/>
    <w:rsid w:val="00A36D24"/>
    <w:rsid w:val="00A37302"/>
    <w:rsid w:val="00A37D25"/>
    <w:rsid w:val="00A37FA6"/>
    <w:rsid w:val="00A402A6"/>
    <w:rsid w:val="00A40D05"/>
    <w:rsid w:val="00A40D79"/>
    <w:rsid w:val="00A4124B"/>
    <w:rsid w:val="00A41305"/>
    <w:rsid w:val="00A41C2B"/>
    <w:rsid w:val="00A42040"/>
    <w:rsid w:val="00A42295"/>
    <w:rsid w:val="00A42B8B"/>
    <w:rsid w:val="00A42CBF"/>
    <w:rsid w:val="00A43077"/>
    <w:rsid w:val="00A43609"/>
    <w:rsid w:val="00A43D7A"/>
    <w:rsid w:val="00A43FCE"/>
    <w:rsid w:val="00A4464B"/>
    <w:rsid w:val="00A448F8"/>
    <w:rsid w:val="00A44A9B"/>
    <w:rsid w:val="00A45020"/>
    <w:rsid w:val="00A456E8"/>
    <w:rsid w:val="00A45990"/>
    <w:rsid w:val="00A45C78"/>
    <w:rsid w:val="00A46083"/>
    <w:rsid w:val="00A4653F"/>
    <w:rsid w:val="00A46807"/>
    <w:rsid w:val="00A47764"/>
    <w:rsid w:val="00A501B2"/>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3431"/>
    <w:rsid w:val="00A536ED"/>
    <w:rsid w:val="00A53CAC"/>
    <w:rsid w:val="00A547DF"/>
    <w:rsid w:val="00A54BDC"/>
    <w:rsid w:val="00A54E8C"/>
    <w:rsid w:val="00A54F0E"/>
    <w:rsid w:val="00A550FA"/>
    <w:rsid w:val="00A56186"/>
    <w:rsid w:val="00A5636F"/>
    <w:rsid w:val="00A563DE"/>
    <w:rsid w:val="00A5658B"/>
    <w:rsid w:val="00A5669C"/>
    <w:rsid w:val="00A57A8F"/>
    <w:rsid w:val="00A60214"/>
    <w:rsid w:val="00A60985"/>
    <w:rsid w:val="00A60C5C"/>
    <w:rsid w:val="00A614D3"/>
    <w:rsid w:val="00A61537"/>
    <w:rsid w:val="00A61618"/>
    <w:rsid w:val="00A624C2"/>
    <w:rsid w:val="00A62988"/>
    <w:rsid w:val="00A62FA9"/>
    <w:rsid w:val="00A63016"/>
    <w:rsid w:val="00A6372E"/>
    <w:rsid w:val="00A637A1"/>
    <w:rsid w:val="00A63C3D"/>
    <w:rsid w:val="00A64251"/>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132"/>
    <w:rsid w:val="00A728BF"/>
    <w:rsid w:val="00A72A2F"/>
    <w:rsid w:val="00A72DBC"/>
    <w:rsid w:val="00A73006"/>
    <w:rsid w:val="00A7323F"/>
    <w:rsid w:val="00A734DE"/>
    <w:rsid w:val="00A7364A"/>
    <w:rsid w:val="00A73A44"/>
    <w:rsid w:val="00A743EF"/>
    <w:rsid w:val="00A7498A"/>
    <w:rsid w:val="00A74B08"/>
    <w:rsid w:val="00A74BC3"/>
    <w:rsid w:val="00A751D1"/>
    <w:rsid w:val="00A7525C"/>
    <w:rsid w:val="00A761AF"/>
    <w:rsid w:val="00A77214"/>
    <w:rsid w:val="00A77ABC"/>
    <w:rsid w:val="00A80140"/>
    <w:rsid w:val="00A801A2"/>
    <w:rsid w:val="00A806C6"/>
    <w:rsid w:val="00A808D1"/>
    <w:rsid w:val="00A80A16"/>
    <w:rsid w:val="00A811A9"/>
    <w:rsid w:val="00A81632"/>
    <w:rsid w:val="00A818F4"/>
    <w:rsid w:val="00A827A4"/>
    <w:rsid w:val="00A83084"/>
    <w:rsid w:val="00A83BB5"/>
    <w:rsid w:val="00A84113"/>
    <w:rsid w:val="00A846D3"/>
    <w:rsid w:val="00A84CCC"/>
    <w:rsid w:val="00A85BC0"/>
    <w:rsid w:val="00A85D5D"/>
    <w:rsid w:val="00A864DB"/>
    <w:rsid w:val="00A86590"/>
    <w:rsid w:val="00A86796"/>
    <w:rsid w:val="00A8691A"/>
    <w:rsid w:val="00A86DA8"/>
    <w:rsid w:val="00A871DC"/>
    <w:rsid w:val="00A877F2"/>
    <w:rsid w:val="00A9016C"/>
    <w:rsid w:val="00A90B39"/>
    <w:rsid w:val="00A90DF7"/>
    <w:rsid w:val="00A910CB"/>
    <w:rsid w:val="00A91DEA"/>
    <w:rsid w:val="00A91E98"/>
    <w:rsid w:val="00A9248C"/>
    <w:rsid w:val="00A92503"/>
    <w:rsid w:val="00A92884"/>
    <w:rsid w:val="00A928EF"/>
    <w:rsid w:val="00A92A85"/>
    <w:rsid w:val="00A93379"/>
    <w:rsid w:val="00A9349A"/>
    <w:rsid w:val="00A9416B"/>
    <w:rsid w:val="00A9430E"/>
    <w:rsid w:val="00A95AAF"/>
    <w:rsid w:val="00A95C22"/>
    <w:rsid w:val="00A9704C"/>
    <w:rsid w:val="00A97E2E"/>
    <w:rsid w:val="00AA1066"/>
    <w:rsid w:val="00AA10AF"/>
    <w:rsid w:val="00AA1A0E"/>
    <w:rsid w:val="00AA1D0C"/>
    <w:rsid w:val="00AA1D16"/>
    <w:rsid w:val="00AA1D19"/>
    <w:rsid w:val="00AA1E9A"/>
    <w:rsid w:val="00AA1EAB"/>
    <w:rsid w:val="00AA21D1"/>
    <w:rsid w:val="00AA256C"/>
    <w:rsid w:val="00AA269A"/>
    <w:rsid w:val="00AA2A55"/>
    <w:rsid w:val="00AA2CF8"/>
    <w:rsid w:val="00AA3557"/>
    <w:rsid w:val="00AA3B56"/>
    <w:rsid w:val="00AA4041"/>
    <w:rsid w:val="00AA4051"/>
    <w:rsid w:val="00AA414E"/>
    <w:rsid w:val="00AA4439"/>
    <w:rsid w:val="00AA4503"/>
    <w:rsid w:val="00AA4623"/>
    <w:rsid w:val="00AA4C05"/>
    <w:rsid w:val="00AA5107"/>
    <w:rsid w:val="00AA5D65"/>
    <w:rsid w:val="00AA6293"/>
    <w:rsid w:val="00AA689A"/>
    <w:rsid w:val="00AA6A1B"/>
    <w:rsid w:val="00AA6A89"/>
    <w:rsid w:val="00AA7077"/>
    <w:rsid w:val="00AA7173"/>
    <w:rsid w:val="00AA7405"/>
    <w:rsid w:val="00AA7605"/>
    <w:rsid w:val="00AA7686"/>
    <w:rsid w:val="00AA7698"/>
    <w:rsid w:val="00AB014D"/>
    <w:rsid w:val="00AB05BE"/>
    <w:rsid w:val="00AB0BDC"/>
    <w:rsid w:val="00AB11BB"/>
    <w:rsid w:val="00AB1B39"/>
    <w:rsid w:val="00AB232E"/>
    <w:rsid w:val="00AB2761"/>
    <w:rsid w:val="00AB3372"/>
    <w:rsid w:val="00AB43AE"/>
    <w:rsid w:val="00AB485D"/>
    <w:rsid w:val="00AB494A"/>
    <w:rsid w:val="00AB4BE0"/>
    <w:rsid w:val="00AB5739"/>
    <w:rsid w:val="00AB5A9E"/>
    <w:rsid w:val="00AB5AE5"/>
    <w:rsid w:val="00AB626B"/>
    <w:rsid w:val="00AB67B6"/>
    <w:rsid w:val="00AB6839"/>
    <w:rsid w:val="00AB76E0"/>
    <w:rsid w:val="00AB77B7"/>
    <w:rsid w:val="00AC003A"/>
    <w:rsid w:val="00AC0289"/>
    <w:rsid w:val="00AC061F"/>
    <w:rsid w:val="00AC06A2"/>
    <w:rsid w:val="00AC1434"/>
    <w:rsid w:val="00AC2638"/>
    <w:rsid w:val="00AC2F3F"/>
    <w:rsid w:val="00AC3313"/>
    <w:rsid w:val="00AC358C"/>
    <w:rsid w:val="00AC39EF"/>
    <w:rsid w:val="00AC40E2"/>
    <w:rsid w:val="00AC435F"/>
    <w:rsid w:val="00AC43BB"/>
    <w:rsid w:val="00AC4929"/>
    <w:rsid w:val="00AC51E8"/>
    <w:rsid w:val="00AC528F"/>
    <w:rsid w:val="00AC5B51"/>
    <w:rsid w:val="00AC7065"/>
    <w:rsid w:val="00AC7246"/>
    <w:rsid w:val="00AC7DE4"/>
    <w:rsid w:val="00AD01DC"/>
    <w:rsid w:val="00AD027D"/>
    <w:rsid w:val="00AD0403"/>
    <w:rsid w:val="00AD09AB"/>
    <w:rsid w:val="00AD0B65"/>
    <w:rsid w:val="00AD0D74"/>
    <w:rsid w:val="00AD1358"/>
    <w:rsid w:val="00AD1791"/>
    <w:rsid w:val="00AD18F7"/>
    <w:rsid w:val="00AD1FE0"/>
    <w:rsid w:val="00AD220E"/>
    <w:rsid w:val="00AD24F8"/>
    <w:rsid w:val="00AD2A43"/>
    <w:rsid w:val="00AD2D9F"/>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B4"/>
    <w:rsid w:val="00AE00B6"/>
    <w:rsid w:val="00AE0454"/>
    <w:rsid w:val="00AE0554"/>
    <w:rsid w:val="00AE06CC"/>
    <w:rsid w:val="00AE07B1"/>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67A3"/>
    <w:rsid w:val="00AE6F83"/>
    <w:rsid w:val="00AE7563"/>
    <w:rsid w:val="00AE75D0"/>
    <w:rsid w:val="00AE7731"/>
    <w:rsid w:val="00AE7DE6"/>
    <w:rsid w:val="00AF00FA"/>
    <w:rsid w:val="00AF055D"/>
    <w:rsid w:val="00AF0BAE"/>
    <w:rsid w:val="00AF0FDC"/>
    <w:rsid w:val="00AF102C"/>
    <w:rsid w:val="00AF132F"/>
    <w:rsid w:val="00AF1C35"/>
    <w:rsid w:val="00AF204C"/>
    <w:rsid w:val="00AF29B2"/>
    <w:rsid w:val="00AF3639"/>
    <w:rsid w:val="00AF3B27"/>
    <w:rsid w:val="00AF4190"/>
    <w:rsid w:val="00AF449C"/>
    <w:rsid w:val="00AF47F0"/>
    <w:rsid w:val="00AF4ADA"/>
    <w:rsid w:val="00AF4F5E"/>
    <w:rsid w:val="00AF5024"/>
    <w:rsid w:val="00AF5131"/>
    <w:rsid w:val="00AF525C"/>
    <w:rsid w:val="00AF5629"/>
    <w:rsid w:val="00AF6914"/>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333A"/>
    <w:rsid w:val="00B041BA"/>
    <w:rsid w:val="00B0430F"/>
    <w:rsid w:val="00B04E11"/>
    <w:rsid w:val="00B04E2A"/>
    <w:rsid w:val="00B04FE6"/>
    <w:rsid w:val="00B055B7"/>
    <w:rsid w:val="00B05AD0"/>
    <w:rsid w:val="00B06363"/>
    <w:rsid w:val="00B06549"/>
    <w:rsid w:val="00B066D6"/>
    <w:rsid w:val="00B06C4F"/>
    <w:rsid w:val="00B06F2B"/>
    <w:rsid w:val="00B100E7"/>
    <w:rsid w:val="00B10265"/>
    <w:rsid w:val="00B10783"/>
    <w:rsid w:val="00B10BFF"/>
    <w:rsid w:val="00B1157E"/>
    <w:rsid w:val="00B1164D"/>
    <w:rsid w:val="00B11CDC"/>
    <w:rsid w:val="00B1225E"/>
    <w:rsid w:val="00B13BCF"/>
    <w:rsid w:val="00B14727"/>
    <w:rsid w:val="00B14BA8"/>
    <w:rsid w:val="00B14DCA"/>
    <w:rsid w:val="00B155EA"/>
    <w:rsid w:val="00B1597A"/>
    <w:rsid w:val="00B162DC"/>
    <w:rsid w:val="00B16383"/>
    <w:rsid w:val="00B16807"/>
    <w:rsid w:val="00B16A5C"/>
    <w:rsid w:val="00B16FB2"/>
    <w:rsid w:val="00B171BE"/>
    <w:rsid w:val="00B1726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2E8A"/>
    <w:rsid w:val="00B237DB"/>
    <w:rsid w:val="00B2403F"/>
    <w:rsid w:val="00B244BE"/>
    <w:rsid w:val="00B245CA"/>
    <w:rsid w:val="00B24B7E"/>
    <w:rsid w:val="00B25B3B"/>
    <w:rsid w:val="00B26230"/>
    <w:rsid w:val="00B2698E"/>
    <w:rsid w:val="00B274B9"/>
    <w:rsid w:val="00B27A59"/>
    <w:rsid w:val="00B27F5E"/>
    <w:rsid w:val="00B301EF"/>
    <w:rsid w:val="00B302F7"/>
    <w:rsid w:val="00B30401"/>
    <w:rsid w:val="00B30823"/>
    <w:rsid w:val="00B30AEC"/>
    <w:rsid w:val="00B30FE6"/>
    <w:rsid w:val="00B3170D"/>
    <w:rsid w:val="00B33AF6"/>
    <w:rsid w:val="00B33D9C"/>
    <w:rsid w:val="00B341E2"/>
    <w:rsid w:val="00B341FC"/>
    <w:rsid w:val="00B34454"/>
    <w:rsid w:val="00B34A48"/>
    <w:rsid w:val="00B34ABE"/>
    <w:rsid w:val="00B34DBA"/>
    <w:rsid w:val="00B34E4F"/>
    <w:rsid w:val="00B34F0C"/>
    <w:rsid w:val="00B352DD"/>
    <w:rsid w:val="00B35810"/>
    <w:rsid w:val="00B35B04"/>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EF0"/>
    <w:rsid w:val="00B4357F"/>
    <w:rsid w:val="00B437A0"/>
    <w:rsid w:val="00B437BB"/>
    <w:rsid w:val="00B444CA"/>
    <w:rsid w:val="00B45213"/>
    <w:rsid w:val="00B45954"/>
    <w:rsid w:val="00B45967"/>
    <w:rsid w:val="00B45F0B"/>
    <w:rsid w:val="00B46A9C"/>
    <w:rsid w:val="00B46FD7"/>
    <w:rsid w:val="00B47272"/>
    <w:rsid w:val="00B472CB"/>
    <w:rsid w:val="00B47C07"/>
    <w:rsid w:val="00B500EB"/>
    <w:rsid w:val="00B50C62"/>
    <w:rsid w:val="00B513EB"/>
    <w:rsid w:val="00B5145C"/>
    <w:rsid w:val="00B51497"/>
    <w:rsid w:val="00B5189C"/>
    <w:rsid w:val="00B51EB7"/>
    <w:rsid w:val="00B51ECA"/>
    <w:rsid w:val="00B52953"/>
    <w:rsid w:val="00B53C20"/>
    <w:rsid w:val="00B53C7F"/>
    <w:rsid w:val="00B540E4"/>
    <w:rsid w:val="00B54236"/>
    <w:rsid w:val="00B54796"/>
    <w:rsid w:val="00B54AC3"/>
    <w:rsid w:val="00B564C3"/>
    <w:rsid w:val="00B56B15"/>
    <w:rsid w:val="00B56B51"/>
    <w:rsid w:val="00B5711A"/>
    <w:rsid w:val="00B60026"/>
    <w:rsid w:val="00B60BA0"/>
    <w:rsid w:val="00B61502"/>
    <w:rsid w:val="00B61573"/>
    <w:rsid w:val="00B6166A"/>
    <w:rsid w:val="00B621D0"/>
    <w:rsid w:val="00B62AD8"/>
    <w:rsid w:val="00B6304A"/>
    <w:rsid w:val="00B63116"/>
    <w:rsid w:val="00B6359A"/>
    <w:rsid w:val="00B64322"/>
    <w:rsid w:val="00B6497A"/>
    <w:rsid w:val="00B64CFF"/>
    <w:rsid w:val="00B66626"/>
    <w:rsid w:val="00B66F59"/>
    <w:rsid w:val="00B67029"/>
    <w:rsid w:val="00B67400"/>
    <w:rsid w:val="00B6756D"/>
    <w:rsid w:val="00B67892"/>
    <w:rsid w:val="00B70016"/>
    <w:rsid w:val="00B700E4"/>
    <w:rsid w:val="00B70398"/>
    <w:rsid w:val="00B707DF"/>
    <w:rsid w:val="00B71674"/>
    <w:rsid w:val="00B7180E"/>
    <w:rsid w:val="00B71DA0"/>
    <w:rsid w:val="00B72E3A"/>
    <w:rsid w:val="00B72EA8"/>
    <w:rsid w:val="00B7367E"/>
    <w:rsid w:val="00B7428F"/>
    <w:rsid w:val="00B74466"/>
    <w:rsid w:val="00B74516"/>
    <w:rsid w:val="00B7477D"/>
    <w:rsid w:val="00B74A5E"/>
    <w:rsid w:val="00B74F82"/>
    <w:rsid w:val="00B7556A"/>
    <w:rsid w:val="00B75C24"/>
    <w:rsid w:val="00B7605A"/>
    <w:rsid w:val="00B76E99"/>
    <w:rsid w:val="00B76EE1"/>
    <w:rsid w:val="00B77672"/>
    <w:rsid w:val="00B77942"/>
    <w:rsid w:val="00B77D0C"/>
    <w:rsid w:val="00B80329"/>
    <w:rsid w:val="00B80529"/>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7152"/>
    <w:rsid w:val="00B87255"/>
    <w:rsid w:val="00B87AE0"/>
    <w:rsid w:val="00B903FE"/>
    <w:rsid w:val="00B90A45"/>
    <w:rsid w:val="00B90C8C"/>
    <w:rsid w:val="00B9112D"/>
    <w:rsid w:val="00B91824"/>
    <w:rsid w:val="00B91DF0"/>
    <w:rsid w:val="00B92104"/>
    <w:rsid w:val="00B9249E"/>
    <w:rsid w:val="00B924BE"/>
    <w:rsid w:val="00B9347E"/>
    <w:rsid w:val="00B936D7"/>
    <w:rsid w:val="00B9383D"/>
    <w:rsid w:val="00B93D6C"/>
    <w:rsid w:val="00B94077"/>
    <w:rsid w:val="00B943FE"/>
    <w:rsid w:val="00B94C3F"/>
    <w:rsid w:val="00B957EF"/>
    <w:rsid w:val="00B9587B"/>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43F7"/>
    <w:rsid w:val="00BA5493"/>
    <w:rsid w:val="00BA6017"/>
    <w:rsid w:val="00BA71B5"/>
    <w:rsid w:val="00BA7516"/>
    <w:rsid w:val="00BA7661"/>
    <w:rsid w:val="00BA77EF"/>
    <w:rsid w:val="00BA793D"/>
    <w:rsid w:val="00BA7BBD"/>
    <w:rsid w:val="00BA7F03"/>
    <w:rsid w:val="00BB0181"/>
    <w:rsid w:val="00BB01D4"/>
    <w:rsid w:val="00BB0AAE"/>
    <w:rsid w:val="00BB0B45"/>
    <w:rsid w:val="00BB0E11"/>
    <w:rsid w:val="00BB1143"/>
    <w:rsid w:val="00BB15AD"/>
    <w:rsid w:val="00BB19DF"/>
    <w:rsid w:val="00BB19F8"/>
    <w:rsid w:val="00BB1D9F"/>
    <w:rsid w:val="00BB28C6"/>
    <w:rsid w:val="00BB2C88"/>
    <w:rsid w:val="00BB2EC7"/>
    <w:rsid w:val="00BB2FD8"/>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1AA5"/>
    <w:rsid w:val="00BC2311"/>
    <w:rsid w:val="00BC2971"/>
    <w:rsid w:val="00BC2E03"/>
    <w:rsid w:val="00BC2FD3"/>
    <w:rsid w:val="00BC32D8"/>
    <w:rsid w:val="00BC3504"/>
    <w:rsid w:val="00BC39DD"/>
    <w:rsid w:val="00BC3BD1"/>
    <w:rsid w:val="00BC3C97"/>
    <w:rsid w:val="00BC4159"/>
    <w:rsid w:val="00BC437A"/>
    <w:rsid w:val="00BC46BE"/>
    <w:rsid w:val="00BC4A31"/>
    <w:rsid w:val="00BC5226"/>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3443"/>
    <w:rsid w:val="00BD3494"/>
    <w:rsid w:val="00BD4068"/>
    <w:rsid w:val="00BD4B3D"/>
    <w:rsid w:val="00BD4D35"/>
    <w:rsid w:val="00BD582D"/>
    <w:rsid w:val="00BD59A0"/>
    <w:rsid w:val="00BD61E0"/>
    <w:rsid w:val="00BD63E5"/>
    <w:rsid w:val="00BD725C"/>
    <w:rsid w:val="00BD7627"/>
    <w:rsid w:val="00BD7A1F"/>
    <w:rsid w:val="00BD7E84"/>
    <w:rsid w:val="00BE01EA"/>
    <w:rsid w:val="00BE0396"/>
    <w:rsid w:val="00BE0850"/>
    <w:rsid w:val="00BE179C"/>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570C"/>
    <w:rsid w:val="00BE6E1E"/>
    <w:rsid w:val="00BE71FD"/>
    <w:rsid w:val="00BE7F53"/>
    <w:rsid w:val="00BF0508"/>
    <w:rsid w:val="00BF0F95"/>
    <w:rsid w:val="00BF0FAB"/>
    <w:rsid w:val="00BF1233"/>
    <w:rsid w:val="00BF1607"/>
    <w:rsid w:val="00BF17C2"/>
    <w:rsid w:val="00BF1801"/>
    <w:rsid w:val="00BF18CE"/>
    <w:rsid w:val="00BF1AE6"/>
    <w:rsid w:val="00BF24A7"/>
    <w:rsid w:val="00BF26E2"/>
    <w:rsid w:val="00BF281E"/>
    <w:rsid w:val="00BF2F1A"/>
    <w:rsid w:val="00BF2F64"/>
    <w:rsid w:val="00BF2FA7"/>
    <w:rsid w:val="00BF318D"/>
    <w:rsid w:val="00BF3385"/>
    <w:rsid w:val="00BF3387"/>
    <w:rsid w:val="00BF352F"/>
    <w:rsid w:val="00BF38D6"/>
    <w:rsid w:val="00BF3BD2"/>
    <w:rsid w:val="00BF3F72"/>
    <w:rsid w:val="00BF3F7D"/>
    <w:rsid w:val="00BF404D"/>
    <w:rsid w:val="00BF40DC"/>
    <w:rsid w:val="00BF41EA"/>
    <w:rsid w:val="00BF4833"/>
    <w:rsid w:val="00BF522F"/>
    <w:rsid w:val="00BF5470"/>
    <w:rsid w:val="00BF5886"/>
    <w:rsid w:val="00BF5D89"/>
    <w:rsid w:val="00BF618A"/>
    <w:rsid w:val="00BF6857"/>
    <w:rsid w:val="00BF6EC3"/>
    <w:rsid w:val="00BF7139"/>
    <w:rsid w:val="00BF71D3"/>
    <w:rsid w:val="00BF7F3B"/>
    <w:rsid w:val="00C006BD"/>
    <w:rsid w:val="00C007DF"/>
    <w:rsid w:val="00C0119B"/>
    <w:rsid w:val="00C01482"/>
    <w:rsid w:val="00C022EE"/>
    <w:rsid w:val="00C024EC"/>
    <w:rsid w:val="00C03175"/>
    <w:rsid w:val="00C0406B"/>
    <w:rsid w:val="00C04251"/>
    <w:rsid w:val="00C051D7"/>
    <w:rsid w:val="00C051DF"/>
    <w:rsid w:val="00C05530"/>
    <w:rsid w:val="00C05BE7"/>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5"/>
    <w:rsid w:val="00C12779"/>
    <w:rsid w:val="00C12BAE"/>
    <w:rsid w:val="00C13087"/>
    <w:rsid w:val="00C134F3"/>
    <w:rsid w:val="00C13E0D"/>
    <w:rsid w:val="00C13E54"/>
    <w:rsid w:val="00C14170"/>
    <w:rsid w:val="00C141B8"/>
    <w:rsid w:val="00C142B1"/>
    <w:rsid w:val="00C142DB"/>
    <w:rsid w:val="00C149C3"/>
    <w:rsid w:val="00C14A7F"/>
    <w:rsid w:val="00C14CAF"/>
    <w:rsid w:val="00C158FB"/>
    <w:rsid w:val="00C15A93"/>
    <w:rsid w:val="00C15BA8"/>
    <w:rsid w:val="00C15BC0"/>
    <w:rsid w:val="00C1610E"/>
    <w:rsid w:val="00C1619F"/>
    <w:rsid w:val="00C16354"/>
    <w:rsid w:val="00C16E7D"/>
    <w:rsid w:val="00C17984"/>
    <w:rsid w:val="00C17B6F"/>
    <w:rsid w:val="00C17EA4"/>
    <w:rsid w:val="00C214A2"/>
    <w:rsid w:val="00C214E1"/>
    <w:rsid w:val="00C218A8"/>
    <w:rsid w:val="00C21C14"/>
    <w:rsid w:val="00C221DA"/>
    <w:rsid w:val="00C226BB"/>
    <w:rsid w:val="00C22A60"/>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D56"/>
    <w:rsid w:val="00C31E25"/>
    <w:rsid w:val="00C32178"/>
    <w:rsid w:val="00C32852"/>
    <w:rsid w:val="00C338D9"/>
    <w:rsid w:val="00C339F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1C8D"/>
    <w:rsid w:val="00C421C1"/>
    <w:rsid w:val="00C42D76"/>
    <w:rsid w:val="00C434CD"/>
    <w:rsid w:val="00C43512"/>
    <w:rsid w:val="00C439FE"/>
    <w:rsid w:val="00C43BF2"/>
    <w:rsid w:val="00C44874"/>
    <w:rsid w:val="00C44D14"/>
    <w:rsid w:val="00C44D97"/>
    <w:rsid w:val="00C456CE"/>
    <w:rsid w:val="00C457F1"/>
    <w:rsid w:val="00C45B58"/>
    <w:rsid w:val="00C461C1"/>
    <w:rsid w:val="00C46210"/>
    <w:rsid w:val="00C4651F"/>
    <w:rsid w:val="00C46532"/>
    <w:rsid w:val="00C46678"/>
    <w:rsid w:val="00C46A27"/>
    <w:rsid w:val="00C46C40"/>
    <w:rsid w:val="00C4723C"/>
    <w:rsid w:val="00C47742"/>
    <w:rsid w:val="00C479EB"/>
    <w:rsid w:val="00C47B4D"/>
    <w:rsid w:val="00C47CFA"/>
    <w:rsid w:val="00C47D13"/>
    <w:rsid w:val="00C50161"/>
    <w:rsid w:val="00C50850"/>
    <w:rsid w:val="00C51046"/>
    <w:rsid w:val="00C51261"/>
    <w:rsid w:val="00C51342"/>
    <w:rsid w:val="00C516A8"/>
    <w:rsid w:val="00C51995"/>
    <w:rsid w:val="00C51F10"/>
    <w:rsid w:val="00C520C5"/>
    <w:rsid w:val="00C520D2"/>
    <w:rsid w:val="00C520E4"/>
    <w:rsid w:val="00C52542"/>
    <w:rsid w:val="00C53016"/>
    <w:rsid w:val="00C53519"/>
    <w:rsid w:val="00C5374C"/>
    <w:rsid w:val="00C53A61"/>
    <w:rsid w:val="00C53B17"/>
    <w:rsid w:val="00C544F1"/>
    <w:rsid w:val="00C55C30"/>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2CD"/>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D85"/>
    <w:rsid w:val="00C75EDC"/>
    <w:rsid w:val="00C766EF"/>
    <w:rsid w:val="00C7675F"/>
    <w:rsid w:val="00C76C8C"/>
    <w:rsid w:val="00C77124"/>
    <w:rsid w:val="00C7743D"/>
    <w:rsid w:val="00C774EE"/>
    <w:rsid w:val="00C77D0D"/>
    <w:rsid w:val="00C77D7C"/>
    <w:rsid w:val="00C77E94"/>
    <w:rsid w:val="00C77F2C"/>
    <w:rsid w:val="00C77F3C"/>
    <w:rsid w:val="00C8047D"/>
    <w:rsid w:val="00C80763"/>
    <w:rsid w:val="00C808A2"/>
    <w:rsid w:val="00C80A9F"/>
    <w:rsid w:val="00C80D1C"/>
    <w:rsid w:val="00C80D8A"/>
    <w:rsid w:val="00C812F0"/>
    <w:rsid w:val="00C813C3"/>
    <w:rsid w:val="00C817B4"/>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235"/>
    <w:rsid w:val="00C87458"/>
    <w:rsid w:val="00C87EB8"/>
    <w:rsid w:val="00C9030F"/>
    <w:rsid w:val="00C90900"/>
    <w:rsid w:val="00C9091F"/>
    <w:rsid w:val="00C90EEC"/>
    <w:rsid w:val="00C91974"/>
    <w:rsid w:val="00C91ABC"/>
    <w:rsid w:val="00C92108"/>
    <w:rsid w:val="00C92CD0"/>
    <w:rsid w:val="00C9346B"/>
    <w:rsid w:val="00C93825"/>
    <w:rsid w:val="00C93A4F"/>
    <w:rsid w:val="00C941E2"/>
    <w:rsid w:val="00C9434C"/>
    <w:rsid w:val="00C947E8"/>
    <w:rsid w:val="00C950CF"/>
    <w:rsid w:val="00C95708"/>
    <w:rsid w:val="00C95FA3"/>
    <w:rsid w:val="00C96306"/>
    <w:rsid w:val="00C96B00"/>
    <w:rsid w:val="00C96B63"/>
    <w:rsid w:val="00C97627"/>
    <w:rsid w:val="00C97688"/>
    <w:rsid w:val="00CA0121"/>
    <w:rsid w:val="00CA017C"/>
    <w:rsid w:val="00CA05C6"/>
    <w:rsid w:val="00CA0BC0"/>
    <w:rsid w:val="00CA0CDE"/>
    <w:rsid w:val="00CA0DFA"/>
    <w:rsid w:val="00CA2329"/>
    <w:rsid w:val="00CA2911"/>
    <w:rsid w:val="00CA309B"/>
    <w:rsid w:val="00CA32A9"/>
    <w:rsid w:val="00CA3AF0"/>
    <w:rsid w:val="00CA3B70"/>
    <w:rsid w:val="00CA3F6F"/>
    <w:rsid w:val="00CA4403"/>
    <w:rsid w:val="00CA49C6"/>
    <w:rsid w:val="00CA4DF4"/>
    <w:rsid w:val="00CA4FB2"/>
    <w:rsid w:val="00CA68F7"/>
    <w:rsid w:val="00CA6CB8"/>
    <w:rsid w:val="00CA77F6"/>
    <w:rsid w:val="00CA7DB2"/>
    <w:rsid w:val="00CB1B77"/>
    <w:rsid w:val="00CB2486"/>
    <w:rsid w:val="00CB4334"/>
    <w:rsid w:val="00CB462B"/>
    <w:rsid w:val="00CB4E6C"/>
    <w:rsid w:val="00CB4FF4"/>
    <w:rsid w:val="00CB5FB5"/>
    <w:rsid w:val="00CB65F1"/>
    <w:rsid w:val="00CB730C"/>
    <w:rsid w:val="00CB7AF6"/>
    <w:rsid w:val="00CB7F6C"/>
    <w:rsid w:val="00CC0265"/>
    <w:rsid w:val="00CC0A15"/>
    <w:rsid w:val="00CC0A92"/>
    <w:rsid w:val="00CC0B58"/>
    <w:rsid w:val="00CC14FC"/>
    <w:rsid w:val="00CC2424"/>
    <w:rsid w:val="00CC2C08"/>
    <w:rsid w:val="00CC307A"/>
    <w:rsid w:val="00CC31C3"/>
    <w:rsid w:val="00CC4AD4"/>
    <w:rsid w:val="00CC4E2A"/>
    <w:rsid w:val="00CC5387"/>
    <w:rsid w:val="00CC580B"/>
    <w:rsid w:val="00CC59AE"/>
    <w:rsid w:val="00CC5CA9"/>
    <w:rsid w:val="00CC6189"/>
    <w:rsid w:val="00CC64B9"/>
    <w:rsid w:val="00CC6511"/>
    <w:rsid w:val="00CC655C"/>
    <w:rsid w:val="00CC6BE5"/>
    <w:rsid w:val="00CC6C74"/>
    <w:rsid w:val="00CC7267"/>
    <w:rsid w:val="00CD0192"/>
    <w:rsid w:val="00CD0918"/>
    <w:rsid w:val="00CD1E89"/>
    <w:rsid w:val="00CD2865"/>
    <w:rsid w:val="00CD2D12"/>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182"/>
    <w:rsid w:val="00CE03B5"/>
    <w:rsid w:val="00CE03CC"/>
    <w:rsid w:val="00CE0765"/>
    <w:rsid w:val="00CE09AE"/>
    <w:rsid w:val="00CE0B39"/>
    <w:rsid w:val="00CE1905"/>
    <w:rsid w:val="00CE1CB2"/>
    <w:rsid w:val="00CE28F8"/>
    <w:rsid w:val="00CE2CC6"/>
    <w:rsid w:val="00CE34BF"/>
    <w:rsid w:val="00CE3605"/>
    <w:rsid w:val="00CE369B"/>
    <w:rsid w:val="00CE3E88"/>
    <w:rsid w:val="00CE403C"/>
    <w:rsid w:val="00CE42D6"/>
    <w:rsid w:val="00CE46B5"/>
    <w:rsid w:val="00CE471B"/>
    <w:rsid w:val="00CE4A0A"/>
    <w:rsid w:val="00CE4B3D"/>
    <w:rsid w:val="00CE4EED"/>
    <w:rsid w:val="00CE4F69"/>
    <w:rsid w:val="00CE506A"/>
    <w:rsid w:val="00CE5305"/>
    <w:rsid w:val="00CE5D0A"/>
    <w:rsid w:val="00CE5EE9"/>
    <w:rsid w:val="00CE5F20"/>
    <w:rsid w:val="00CE60C5"/>
    <w:rsid w:val="00CE635E"/>
    <w:rsid w:val="00CE647E"/>
    <w:rsid w:val="00CE6822"/>
    <w:rsid w:val="00CE6857"/>
    <w:rsid w:val="00CE6D3E"/>
    <w:rsid w:val="00CE6DFC"/>
    <w:rsid w:val="00CE6F68"/>
    <w:rsid w:val="00CE74B4"/>
    <w:rsid w:val="00CE766A"/>
    <w:rsid w:val="00CE77F5"/>
    <w:rsid w:val="00CE7B3B"/>
    <w:rsid w:val="00CF0669"/>
    <w:rsid w:val="00CF14B4"/>
    <w:rsid w:val="00CF1E68"/>
    <w:rsid w:val="00CF1FC4"/>
    <w:rsid w:val="00CF2326"/>
    <w:rsid w:val="00CF2559"/>
    <w:rsid w:val="00CF2C47"/>
    <w:rsid w:val="00CF3024"/>
    <w:rsid w:val="00CF3737"/>
    <w:rsid w:val="00CF430E"/>
    <w:rsid w:val="00CF471B"/>
    <w:rsid w:val="00CF4BC4"/>
    <w:rsid w:val="00CF4FAE"/>
    <w:rsid w:val="00CF4FBE"/>
    <w:rsid w:val="00CF5096"/>
    <w:rsid w:val="00CF5D1F"/>
    <w:rsid w:val="00CF5ECF"/>
    <w:rsid w:val="00CF7154"/>
    <w:rsid w:val="00D000B5"/>
    <w:rsid w:val="00D002A6"/>
    <w:rsid w:val="00D00472"/>
    <w:rsid w:val="00D005A7"/>
    <w:rsid w:val="00D006CD"/>
    <w:rsid w:val="00D0087E"/>
    <w:rsid w:val="00D00DB8"/>
    <w:rsid w:val="00D01176"/>
    <w:rsid w:val="00D014D0"/>
    <w:rsid w:val="00D01AA2"/>
    <w:rsid w:val="00D01D52"/>
    <w:rsid w:val="00D01F62"/>
    <w:rsid w:val="00D027E6"/>
    <w:rsid w:val="00D02811"/>
    <w:rsid w:val="00D0291C"/>
    <w:rsid w:val="00D02CB5"/>
    <w:rsid w:val="00D02F51"/>
    <w:rsid w:val="00D0307E"/>
    <w:rsid w:val="00D03CDD"/>
    <w:rsid w:val="00D04784"/>
    <w:rsid w:val="00D04B24"/>
    <w:rsid w:val="00D0550E"/>
    <w:rsid w:val="00D05D91"/>
    <w:rsid w:val="00D05DE3"/>
    <w:rsid w:val="00D062B0"/>
    <w:rsid w:val="00D06539"/>
    <w:rsid w:val="00D06866"/>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1AF"/>
    <w:rsid w:val="00D25716"/>
    <w:rsid w:val="00D269B7"/>
    <w:rsid w:val="00D273C7"/>
    <w:rsid w:val="00D274D3"/>
    <w:rsid w:val="00D312CB"/>
    <w:rsid w:val="00D3182A"/>
    <w:rsid w:val="00D3222A"/>
    <w:rsid w:val="00D32514"/>
    <w:rsid w:val="00D32C06"/>
    <w:rsid w:val="00D32DF1"/>
    <w:rsid w:val="00D330CA"/>
    <w:rsid w:val="00D33A88"/>
    <w:rsid w:val="00D3423B"/>
    <w:rsid w:val="00D34326"/>
    <w:rsid w:val="00D348D0"/>
    <w:rsid w:val="00D349AF"/>
    <w:rsid w:val="00D34B1A"/>
    <w:rsid w:val="00D34D24"/>
    <w:rsid w:val="00D34DA3"/>
    <w:rsid w:val="00D35632"/>
    <w:rsid w:val="00D35D46"/>
    <w:rsid w:val="00D35F5F"/>
    <w:rsid w:val="00D36529"/>
    <w:rsid w:val="00D36741"/>
    <w:rsid w:val="00D37178"/>
    <w:rsid w:val="00D37487"/>
    <w:rsid w:val="00D3765F"/>
    <w:rsid w:val="00D37A7A"/>
    <w:rsid w:val="00D37C8E"/>
    <w:rsid w:val="00D37D45"/>
    <w:rsid w:val="00D403D7"/>
    <w:rsid w:val="00D40585"/>
    <w:rsid w:val="00D40A8E"/>
    <w:rsid w:val="00D40E64"/>
    <w:rsid w:val="00D40E68"/>
    <w:rsid w:val="00D41119"/>
    <w:rsid w:val="00D41826"/>
    <w:rsid w:val="00D41A70"/>
    <w:rsid w:val="00D41B6D"/>
    <w:rsid w:val="00D43187"/>
    <w:rsid w:val="00D43192"/>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28BF"/>
    <w:rsid w:val="00D53608"/>
    <w:rsid w:val="00D537A5"/>
    <w:rsid w:val="00D539CC"/>
    <w:rsid w:val="00D53C9F"/>
    <w:rsid w:val="00D54281"/>
    <w:rsid w:val="00D54323"/>
    <w:rsid w:val="00D54769"/>
    <w:rsid w:val="00D54AC9"/>
    <w:rsid w:val="00D558EC"/>
    <w:rsid w:val="00D55F34"/>
    <w:rsid w:val="00D566A0"/>
    <w:rsid w:val="00D5727C"/>
    <w:rsid w:val="00D60604"/>
    <w:rsid w:val="00D60A8D"/>
    <w:rsid w:val="00D61030"/>
    <w:rsid w:val="00D615D9"/>
    <w:rsid w:val="00D61609"/>
    <w:rsid w:val="00D62421"/>
    <w:rsid w:val="00D6283E"/>
    <w:rsid w:val="00D6299A"/>
    <w:rsid w:val="00D63654"/>
    <w:rsid w:val="00D638B0"/>
    <w:rsid w:val="00D64679"/>
    <w:rsid w:val="00D64BE2"/>
    <w:rsid w:val="00D64F1B"/>
    <w:rsid w:val="00D655E6"/>
    <w:rsid w:val="00D658CD"/>
    <w:rsid w:val="00D65B37"/>
    <w:rsid w:val="00D6716B"/>
    <w:rsid w:val="00D672AD"/>
    <w:rsid w:val="00D6752D"/>
    <w:rsid w:val="00D7002B"/>
    <w:rsid w:val="00D710FC"/>
    <w:rsid w:val="00D71277"/>
    <w:rsid w:val="00D718F2"/>
    <w:rsid w:val="00D71CB9"/>
    <w:rsid w:val="00D7202D"/>
    <w:rsid w:val="00D721C2"/>
    <w:rsid w:val="00D728D4"/>
    <w:rsid w:val="00D729DC"/>
    <w:rsid w:val="00D7311B"/>
    <w:rsid w:val="00D7348E"/>
    <w:rsid w:val="00D73506"/>
    <w:rsid w:val="00D73BC5"/>
    <w:rsid w:val="00D74487"/>
    <w:rsid w:val="00D74ED2"/>
    <w:rsid w:val="00D7509F"/>
    <w:rsid w:val="00D75D57"/>
    <w:rsid w:val="00D76328"/>
    <w:rsid w:val="00D764EA"/>
    <w:rsid w:val="00D76569"/>
    <w:rsid w:val="00D765E9"/>
    <w:rsid w:val="00D76A22"/>
    <w:rsid w:val="00D801D8"/>
    <w:rsid w:val="00D8136E"/>
    <w:rsid w:val="00D822D8"/>
    <w:rsid w:val="00D82550"/>
    <w:rsid w:val="00D826BD"/>
    <w:rsid w:val="00D83669"/>
    <w:rsid w:val="00D836BC"/>
    <w:rsid w:val="00D83878"/>
    <w:rsid w:val="00D838D0"/>
    <w:rsid w:val="00D84E6D"/>
    <w:rsid w:val="00D85205"/>
    <w:rsid w:val="00D85234"/>
    <w:rsid w:val="00D8559F"/>
    <w:rsid w:val="00D856C3"/>
    <w:rsid w:val="00D857A0"/>
    <w:rsid w:val="00D8690D"/>
    <w:rsid w:val="00D87425"/>
    <w:rsid w:val="00D8779B"/>
    <w:rsid w:val="00D87B8C"/>
    <w:rsid w:val="00D87C9B"/>
    <w:rsid w:val="00D902F9"/>
    <w:rsid w:val="00D90C12"/>
    <w:rsid w:val="00D90FB5"/>
    <w:rsid w:val="00D91136"/>
    <w:rsid w:val="00D91527"/>
    <w:rsid w:val="00D9197C"/>
    <w:rsid w:val="00D919EA"/>
    <w:rsid w:val="00D91B6A"/>
    <w:rsid w:val="00D92057"/>
    <w:rsid w:val="00D921CE"/>
    <w:rsid w:val="00D9280D"/>
    <w:rsid w:val="00D928F3"/>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2DF"/>
    <w:rsid w:val="00D9784C"/>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0F5A"/>
    <w:rsid w:val="00DB17C5"/>
    <w:rsid w:val="00DB1B41"/>
    <w:rsid w:val="00DB1C0F"/>
    <w:rsid w:val="00DB1EF2"/>
    <w:rsid w:val="00DB1FF7"/>
    <w:rsid w:val="00DB3401"/>
    <w:rsid w:val="00DB3571"/>
    <w:rsid w:val="00DB3A31"/>
    <w:rsid w:val="00DB3DC1"/>
    <w:rsid w:val="00DB4280"/>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1D5"/>
    <w:rsid w:val="00DC1935"/>
    <w:rsid w:val="00DC199B"/>
    <w:rsid w:val="00DC2451"/>
    <w:rsid w:val="00DC2767"/>
    <w:rsid w:val="00DC28AF"/>
    <w:rsid w:val="00DC2D97"/>
    <w:rsid w:val="00DC2E16"/>
    <w:rsid w:val="00DC3082"/>
    <w:rsid w:val="00DC30A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111B"/>
    <w:rsid w:val="00DE1142"/>
    <w:rsid w:val="00DE1DAD"/>
    <w:rsid w:val="00DE1EAE"/>
    <w:rsid w:val="00DE2438"/>
    <w:rsid w:val="00DE243C"/>
    <w:rsid w:val="00DE2536"/>
    <w:rsid w:val="00DE282A"/>
    <w:rsid w:val="00DE3242"/>
    <w:rsid w:val="00DE4081"/>
    <w:rsid w:val="00DE4653"/>
    <w:rsid w:val="00DE4963"/>
    <w:rsid w:val="00DE4C36"/>
    <w:rsid w:val="00DE4F6F"/>
    <w:rsid w:val="00DE5DA2"/>
    <w:rsid w:val="00DE5F09"/>
    <w:rsid w:val="00DE6ED2"/>
    <w:rsid w:val="00DE7749"/>
    <w:rsid w:val="00DE7EC4"/>
    <w:rsid w:val="00DF008C"/>
    <w:rsid w:val="00DF07CE"/>
    <w:rsid w:val="00DF093F"/>
    <w:rsid w:val="00DF094C"/>
    <w:rsid w:val="00DF0F89"/>
    <w:rsid w:val="00DF1366"/>
    <w:rsid w:val="00DF164A"/>
    <w:rsid w:val="00DF22BB"/>
    <w:rsid w:val="00DF2900"/>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12F2"/>
    <w:rsid w:val="00E01624"/>
    <w:rsid w:val="00E01AEF"/>
    <w:rsid w:val="00E01CA8"/>
    <w:rsid w:val="00E01DC9"/>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7C7"/>
    <w:rsid w:val="00E06872"/>
    <w:rsid w:val="00E06B97"/>
    <w:rsid w:val="00E0702B"/>
    <w:rsid w:val="00E0722D"/>
    <w:rsid w:val="00E074CD"/>
    <w:rsid w:val="00E07AA1"/>
    <w:rsid w:val="00E07D42"/>
    <w:rsid w:val="00E07FF7"/>
    <w:rsid w:val="00E10064"/>
    <w:rsid w:val="00E1100B"/>
    <w:rsid w:val="00E1116A"/>
    <w:rsid w:val="00E1154F"/>
    <w:rsid w:val="00E11B51"/>
    <w:rsid w:val="00E11F3E"/>
    <w:rsid w:val="00E121BE"/>
    <w:rsid w:val="00E12510"/>
    <w:rsid w:val="00E13C26"/>
    <w:rsid w:val="00E14001"/>
    <w:rsid w:val="00E148F4"/>
    <w:rsid w:val="00E1516E"/>
    <w:rsid w:val="00E152A6"/>
    <w:rsid w:val="00E156B9"/>
    <w:rsid w:val="00E15719"/>
    <w:rsid w:val="00E16A10"/>
    <w:rsid w:val="00E16F63"/>
    <w:rsid w:val="00E170A1"/>
    <w:rsid w:val="00E17CD8"/>
    <w:rsid w:val="00E20447"/>
    <w:rsid w:val="00E20CAB"/>
    <w:rsid w:val="00E20CB1"/>
    <w:rsid w:val="00E20F12"/>
    <w:rsid w:val="00E22157"/>
    <w:rsid w:val="00E22224"/>
    <w:rsid w:val="00E2283A"/>
    <w:rsid w:val="00E22AFE"/>
    <w:rsid w:val="00E2338F"/>
    <w:rsid w:val="00E2381E"/>
    <w:rsid w:val="00E238EF"/>
    <w:rsid w:val="00E2457A"/>
    <w:rsid w:val="00E251EB"/>
    <w:rsid w:val="00E25B40"/>
    <w:rsid w:val="00E2630F"/>
    <w:rsid w:val="00E26E76"/>
    <w:rsid w:val="00E275AA"/>
    <w:rsid w:val="00E3049C"/>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08C"/>
    <w:rsid w:val="00E357AA"/>
    <w:rsid w:val="00E361ED"/>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D87"/>
    <w:rsid w:val="00E42DA4"/>
    <w:rsid w:val="00E42EE2"/>
    <w:rsid w:val="00E4345A"/>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AC"/>
    <w:rsid w:val="00E47AE8"/>
    <w:rsid w:val="00E47D8F"/>
    <w:rsid w:val="00E500A9"/>
    <w:rsid w:val="00E513D2"/>
    <w:rsid w:val="00E51B57"/>
    <w:rsid w:val="00E51CBF"/>
    <w:rsid w:val="00E51DF8"/>
    <w:rsid w:val="00E51E50"/>
    <w:rsid w:val="00E52115"/>
    <w:rsid w:val="00E53097"/>
    <w:rsid w:val="00E53098"/>
    <w:rsid w:val="00E53B44"/>
    <w:rsid w:val="00E53B5D"/>
    <w:rsid w:val="00E53D30"/>
    <w:rsid w:val="00E53E24"/>
    <w:rsid w:val="00E54477"/>
    <w:rsid w:val="00E5461E"/>
    <w:rsid w:val="00E54CE8"/>
    <w:rsid w:val="00E5519A"/>
    <w:rsid w:val="00E55756"/>
    <w:rsid w:val="00E5589E"/>
    <w:rsid w:val="00E55BDE"/>
    <w:rsid w:val="00E55CF2"/>
    <w:rsid w:val="00E56586"/>
    <w:rsid w:val="00E56926"/>
    <w:rsid w:val="00E56A66"/>
    <w:rsid w:val="00E56E27"/>
    <w:rsid w:val="00E571A7"/>
    <w:rsid w:val="00E57317"/>
    <w:rsid w:val="00E579CD"/>
    <w:rsid w:val="00E579CE"/>
    <w:rsid w:val="00E57DEB"/>
    <w:rsid w:val="00E601A3"/>
    <w:rsid w:val="00E60382"/>
    <w:rsid w:val="00E60614"/>
    <w:rsid w:val="00E618F4"/>
    <w:rsid w:val="00E61AED"/>
    <w:rsid w:val="00E6256E"/>
    <w:rsid w:val="00E62668"/>
    <w:rsid w:val="00E627EF"/>
    <w:rsid w:val="00E628BB"/>
    <w:rsid w:val="00E62A9C"/>
    <w:rsid w:val="00E637C2"/>
    <w:rsid w:val="00E63E6B"/>
    <w:rsid w:val="00E6454D"/>
    <w:rsid w:val="00E647E1"/>
    <w:rsid w:val="00E64D09"/>
    <w:rsid w:val="00E6580A"/>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57D"/>
    <w:rsid w:val="00E71C18"/>
    <w:rsid w:val="00E7204C"/>
    <w:rsid w:val="00E725A3"/>
    <w:rsid w:val="00E72785"/>
    <w:rsid w:val="00E72AAD"/>
    <w:rsid w:val="00E72AC2"/>
    <w:rsid w:val="00E7314B"/>
    <w:rsid w:val="00E731B3"/>
    <w:rsid w:val="00E733CB"/>
    <w:rsid w:val="00E73679"/>
    <w:rsid w:val="00E73B29"/>
    <w:rsid w:val="00E740B0"/>
    <w:rsid w:val="00E740D1"/>
    <w:rsid w:val="00E74703"/>
    <w:rsid w:val="00E7475C"/>
    <w:rsid w:val="00E74C1E"/>
    <w:rsid w:val="00E74F6A"/>
    <w:rsid w:val="00E7630B"/>
    <w:rsid w:val="00E76A42"/>
    <w:rsid w:val="00E76DF9"/>
    <w:rsid w:val="00E77413"/>
    <w:rsid w:val="00E7744F"/>
    <w:rsid w:val="00E778A4"/>
    <w:rsid w:val="00E778B5"/>
    <w:rsid w:val="00E77941"/>
    <w:rsid w:val="00E80784"/>
    <w:rsid w:val="00E81201"/>
    <w:rsid w:val="00E812AB"/>
    <w:rsid w:val="00E81775"/>
    <w:rsid w:val="00E81A26"/>
    <w:rsid w:val="00E81DD3"/>
    <w:rsid w:val="00E8203A"/>
    <w:rsid w:val="00E826FD"/>
    <w:rsid w:val="00E82824"/>
    <w:rsid w:val="00E82CB7"/>
    <w:rsid w:val="00E82F1A"/>
    <w:rsid w:val="00E82F8C"/>
    <w:rsid w:val="00E82FB2"/>
    <w:rsid w:val="00E8387A"/>
    <w:rsid w:val="00E838B6"/>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6D2"/>
    <w:rsid w:val="00E9625F"/>
    <w:rsid w:val="00E96556"/>
    <w:rsid w:val="00E96622"/>
    <w:rsid w:val="00E96700"/>
    <w:rsid w:val="00E96C91"/>
    <w:rsid w:val="00E97068"/>
    <w:rsid w:val="00E9736D"/>
    <w:rsid w:val="00E97753"/>
    <w:rsid w:val="00E97D9F"/>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74C"/>
    <w:rsid w:val="00EB17AB"/>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24"/>
    <w:rsid w:val="00EB50BA"/>
    <w:rsid w:val="00EB5CE4"/>
    <w:rsid w:val="00EB7301"/>
    <w:rsid w:val="00EB7BCD"/>
    <w:rsid w:val="00EB7EE6"/>
    <w:rsid w:val="00EC008C"/>
    <w:rsid w:val="00EC032D"/>
    <w:rsid w:val="00EC0C91"/>
    <w:rsid w:val="00EC0D0C"/>
    <w:rsid w:val="00EC0D7A"/>
    <w:rsid w:val="00EC0F80"/>
    <w:rsid w:val="00EC11C5"/>
    <w:rsid w:val="00EC1AA5"/>
    <w:rsid w:val="00EC212C"/>
    <w:rsid w:val="00EC2292"/>
    <w:rsid w:val="00EC2A0D"/>
    <w:rsid w:val="00EC30F2"/>
    <w:rsid w:val="00EC32E7"/>
    <w:rsid w:val="00EC355D"/>
    <w:rsid w:val="00EC35FD"/>
    <w:rsid w:val="00EC3AFD"/>
    <w:rsid w:val="00EC4623"/>
    <w:rsid w:val="00EC4634"/>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069"/>
    <w:rsid w:val="00ED51AA"/>
    <w:rsid w:val="00ED5456"/>
    <w:rsid w:val="00ED5538"/>
    <w:rsid w:val="00ED56EB"/>
    <w:rsid w:val="00ED56EC"/>
    <w:rsid w:val="00ED59F9"/>
    <w:rsid w:val="00ED61ED"/>
    <w:rsid w:val="00ED69A3"/>
    <w:rsid w:val="00ED6BD6"/>
    <w:rsid w:val="00ED6C3D"/>
    <w:rsid w:val="00ED6F9A"/>
    <w:rsid w:val="00ED70C9"/>
    <w:rsid w:val="00ED71BE"/>
    <w:rsid w:val="00ED738F"/>
    <w:rsid w:val="00ED7907"/>
    <w:rsid w:val="00ED7BEA"/>
    <w:rsid w:val="00ED7E4B"/>
    <w:rsid w:val="00EE037D"/>
    <w:rsid w:val="00EE0FC8"/>
    <w:rsid w:val="00EE12E9"/>
    <w:rsid w:val="00EE14E5"/>
    <w:rsid w:val="00EE19B7"/>
    <w:rsid w:val="00EE1CFA"/>
    <w:rsid w:val="00EE2324"/>
    <w:rsid w:val="00EE2667"/>
    <w:rsid w:val="00EE2DA3"/>
    <w:rsid w:val="00EE37A5"/>
    <w:rsid w:val="00EE3D63"/>
    <w:rsid w:val="00EE4014"/>
    <w:rsid w:val="00EE45CC"/>
    <w:rsid w:val="00EE4607"/>
    <w:rsid w:val="00EE4839"/>
    <w:rsid w:val="00EE5CDB"/>
    <w:rsid w:val="00EE6BBB"/>
    <w:rsid w:val="00EE763C"/>
    <w:rsid w:val="00EE77C6"/>
    <w:rsid w:val="00EF165E"/>
    <w:rsid w:val="00EF1976"/>
    <w:rsid w:val="00EF21A4"/>
    <w:rsid w:val="00EF2284"/>
    <w:rsid w:val="00EF239F"/>
    <w:rsid w:val="00EF2B20"/>
    <w:rsid w:val="00EF2DEF"/>
    <w:rsid w:val="00EF306B"/>
    <w:rsid w:val="00EF37ED"/>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F35"/>
    <w:rsid w:val="00F0188F"/>
    <w:rsid w:val="00F01AD3"/>
    <w:rsid w:val="00F01D56"/>
    <w:rsid w:val="00F0314F"/>
    <w:rsid w:val="00F0375B"/>
    <w:rsid w:val="00F03C7F"/>
    <w:rsid w:val="00F042AD"/>
    <w:rsid w:val="00F044E5"/>
    <w:rsid w:val="00F04502"/>
    <w:rsid w:val="00F04972"/>
    <w:rsid w:val="00F04CDC"/>
    <w:rsid w:val="00F05325"/>
    <w:rsid w:val="00F059D2"/>
    <w:rsid w:val="00F05DFB"/>
    <w:rsid w:val="00F05FDC"/>
    <w:rsid w:val="00F0617A"/>
    <w:rsid w:val="00F061FE"/>
    <w:rsid w:val="00F0629B"/>
    <w:rsid w:val="00F065B5"/>
    <w:rsid w:val="00F06708"/>
    <w:rsid w:val="00F0676E"/>
    <w:rsid w:val="00F06ECA"/>
    <w:rsid w:val="00F10038"/>
    <w:rsid w:val="00F10222"/>
    <w:rsid w:val="00F106AA"/>
    <w:rsid w:val="00F10AC6"/>
    <w:rsid w:val="00F10F48"/>
    <w:rsid w:val="00F112D2"/>
    <w:rsid w:val="00F1155D"/>
    <w:rsid w:val="00F121B3"/>
    <w:rsid w:val="00F1251F"/>
    <w:rsid w:val="00F127C1"/>
    <w:rsid w:val="00F12FF1"/>
    <w:rsid w:val="00F13070"/>
    <w:rsid w:val="00F13265"/>
    <w:rsid w:val="00F13385"/>
    <w:rsid w:val="00F1388C"/>
    <w:rsid w:val="00F1395E"/>
    <w:rsid w:val="00F13F1A"/>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BA5"/>
    <w:rsid w:val="00F22FC3"/>
    <w:rsid w:val="00F239D2"/>
    <w:rsid w:val="00F23F8B"/>
    <w:rsid w:val="00F24A7B"/>
    <w:rsid w:val="00F24DA3"/>
    <w:rsid w:val="00F25102"/>
    <w:rsid w:val="00F25EF5"/>
    <w:rsid w:val="00F25F70"/>
    <w:rsid w:val="00F2634F"/>
    <w:rsid w:val="00F26627"/>
    <w:rsid w:val="00F26FD3"/>
    <w:rsid w:val="00F27720"/>
    <w:rsid w:val="00F27B11"/>
    <w:rsid w:val="00F3073C"/>
    <w:rsid w:val="00F307CF"/>
    <w:rsid w:val="00F30910"/>
    <w:rsid w:val="00F30ACB"/>
    <w:rsid w:val="00F30E54"/>
    <w:rsid w:val="00F3149C"/>
    <w:rsid w:val="00F31A9C"/>
    <w:rsid w:val="00F31F19"/>
    <w:rsid w:val="00F31FC4"/>
    <w:rsid w:val="00F320B7"/>
    <w:rsid w:val="00F327F0"/>
    <w:rsid w:val="00F32C7A"/>
    <w:rsid w:val="00F33DB6"/>
    <w:rsid w:val="00F34135"/>
    <w:rsid w:val="00F341A0"/>
    <w:rsid w:val="00F343D8"/>
    <w:rsid w:val="00F343EB"/>
    <w:rsid w:val="00F34472"/>
    <w:rsid w:val="00F349BB"/>
    <w:rsid w:val="00F34D3D"/>
    <w:rsid w:val="00F3546C"/>
    <w:rsid w:val="00F35738"/>
    <w:rsid w:val="00F35E74"/>
    <w:rsid w:val="00F35F96"/>
    <w:rsid w:val="00F35FEC"/>
    <w:rsid w:val="00F36089"/>
    <w:rsid w:val="00F36B32"/>
    <w:rsid w:val="00F3715C"/>
    <w:rsid w:val="00F37344"/>
    <w:rsid w:val="00F37656"/>
    <w:rsid w:val="00F37B75"/>
    <w:rsid w:val="00F41715"/>
    <w:rsid w:val="00F424FC"/>
    <w:rsid w:val="00F42B4D"/>
    <w:rsid w:val="00F42F79"/>
    <w:rsid w:val="00F43084"/>
    <w:rsid w:val="00F430CB"/>
    <w:rsid w:val="00F43698"/>
    <w:rsid w:val="00F438BC"/>
    <w:rsid w:val="00F44FB4"/>
    <w:rsid w:val="00F4501D"/>
    <w:rsid w:val="00F45140"/>
    <w:rsid w:val="00F4525C"/>
    <w:rsid w:val="00F45496"/>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4E1"/>
    <w:rsid w:val="00F54899"/>
    <w:rsid w:val="00F54901"/>
    <w:rsid w:val="00F54E28"/>
    <w:rsid w:val="00F552E1"/>
    <w:rsid w:val="00F55618"/>
    <w:rsid w:val="00F558BD"/>
    <w:rsid w:val="00F55D4F"/>
    <w:rsid w:val="00F564B4"/>
    <w:rsid w:val="00F56AF6"/>
    <w:rsid w:val="00F5770A"/>
    <w:rsid w:val="00F57FDA"/>
    <w:rsid w:val="00F6047A"/>
    <w:rsid w:val="00F6073D"/>
    <w:rsid w:val="00F60CAB"/>
    <w:rsid w:val="00F60D4C"/>
    <w:rsid w:val="00F6106E"/>
    <w:rsid w:val="00F610B2"/>
    <w:rsid w:val="00F610C4"/>
    <w:rsid w:val="00F614B6"/>
    <w:rsid w:val="00F6171E"/>
    <w:rsid w:val="00F61808"/>
    <w:rsid w:val="00F61E5E"/>
    <w:rsid w:val="00F627E1"/>
    <w:rsid w:val="00F62D15"/>
    <w:rsid w:val="00F636D2"/>
    <w:rsid w:val="00F63AA6"/>
    <w:rsid w:val="00F65133"/>
    <w:rsid w:val="00F65B6D"/>
    <w:rsid w:val="00F65E84"/>
    <w:rsid w:val="00F666EF"/>
    <w:rsid w:val="00F66D2A"/>
    <w:rsid w:val="00F6753B"/>
    <w:rsid w:val="00F67705"/>
    <w:rsid w:val="00F67831"/>
    <w:rsid w:val="00F70835"/>
    <w:rsid w:val="00F70AC9"/>
    <w:rsid w:val="00F70E3A"/>
    <w:rsid w:val="00F70EA8"/>
    <w:rsid w:val="00F71157"/>
    <w:rsid w:val="00F711B1"/>
    <w:rsid w:val="00F7146C"/>
    <w:rsid w:val="00F71EB1"/>
    <w:rsid w:val="00F72BE2"/>
    <w:rsid w:val="00F73467"/>
    <w:rsid w:val="00F73C5D"/>
    <w:rsid w:val="00F74508"/>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5F"/>
    <w:rsid w:val="00F8198C"/>
    <w:rsid w:val="00F819B4"/>
    <w:rsid w:val="00F81E06"/>
    <w:rsid w:val="00F82787"/>
    <w:rsid w:val="00F82A72"/>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2AF"/>
    <w:rsid w:val="00F91BA0"/>
    <w:rsid w:val="00F91CA1"/>
    <w:rsid w:val="00F924E7"/>
    <w:rsid w:val="00F92511"/>
    <w:rsid w:val="00F92FA7"/>
    <w:rsid w:val="00F938C4"/>
    <w:rsid w:val="00F93D94"/>
    <w:rsid w:val="00F93F82"/>
    <w:rsid w:val="00F9459F"/>
    <w:rsid w:val="00F945F7"/>
    <w:rsid w:val="00F94E69"/>
    <w:rsid w:val="00F954B8"/>
    <w:rsid w:val="00F957E7"/>
    <w:rsid w:val="00F95A0E"/>
    <w:rsid w:val="00F96299"/>
    <w:rsid w:val="00F9675E"/>
    <w:rsid w:val="00F967A9"/>
    <w:rsid w:val="00F96C9F"/>
    <w:rsid w:val="00F96CA1"/>
    <w:rsid w:val="00F96F1D"/>
    <w:rsid w:val="00F9703F"/>
    <w:rsid w:val="00F97721"/>
    <w:rsid w:val="00F97D8A"/>
    <w:rsid w:val="00FA0368"/>
    <w:rsid w:val="00FA0759"/>
    <w:rsid w:val="00FA0FEB"/>
    <w:rsid w:val="00FA10E6"/>
    <w:rsid w:val="00FA1656"/>
    <w:rsid w:val="00FA1C08"/>
    <w:rsid w:val="00FA1C7D"/>
    <w:rsid w:val="00FA2677"/>
    <w:rsid w:val="00FA3371"/>
    <w:rsid w:val="00FA3D68"/>
    <w:rsid w:val="00FA3E56"/>
    <w:rsid w:val="00FA424C"/>
    <w:rsid w:val="00FA48A1"/>
    <w:rsid w:val="00FA4DA6"/>
    <w:rsid w:val="00FA5998"/>
    <w:rsid w:val="00FA60A9"/>
    <w:rsid w:val="00FA6F6A"/>
    <w:rsid w:val="00FA7BAD"/>
    <w:rsid w:val="00FB0264"/>
    <w:rsid w:val="00FB0761"/>
    <w:rsid w:val="00FB0CD3"/>
    <w:rsid w:val="00FB177E"/>
    <w:rsid w:val="00FB1920"/>
    <w:rsid w:val="00FB1BB5"/>
    <w:rsid w:val="00FB1EFA"/>
    <w:rsid w:val="00FB2399"/>
    <w:rsid w:val="00FB2620"/>
    <w:rsid w:val="00FB2F32"/>
    <w:rsid w:val="00FB3A3A"/>
    <w:rsid w:val="00FB3F7E"/>
    <w:rsid w:val="00FB40FE"/>
    <w:rsid w:val="00FB4D06"/>
    <w:rsid w:val="00FB4EDE"/>
    <w:rsid w:val="00FB5AA5"/>
    <w:rsid w:val="00FB5D6E"/>
    <w:rsid w:val="00FB6B0B"/>
    <w:rsid w:val="00FB6EC3"/>
    <w:rsid w:val="00FB731E"/>
    <w:rsid w:val="00FB7DB8"/>
    <w:rsid w:val="00FC0140"/>
    <w:rsid w:val="00FC0B5A"/>
    <w:rsid w:val="00FC0DD5"/>
    <w:rsid w:val="00FC0E3C"/>
    <w:rsid w:val="00FC1491"/>
    <w:rsid w:val="00FC2F43"/>
    <w:rsid w:val="00FC2FFE"/>
    <w:rsid w:val="00FC32BC"/>
    <w:rsid w:val="00FC3924"/>
    <w:rsid w:val="00FC3E57"/>
    <w:rsid w:val="00FC494A"/>
    <w:rsid w:val="00FC497C"/>
    <w:rsid w:val="00FC4D9C"/>
    <w:rsid w:val="00FC4F51"/>
    <w:rsid w:val="00FC5581"/>
    <w:rsid w:val="00FC57E6"/>
    <w:rsid w:val="00FC5ADE"/>
    <w:rsid w:val="00FC6161"/>
    <w:rsid w:val="00FC6E81"/>
    <w:rsid w:val="00FC7A8A"/>
    <w:rsid w:val="00FC7D5F"/>
    <w:rsid w:val="00FD009A"/>
    <w:rsid w:val="00FD0334"/>
    <w:rsid w:val="00FD059E"/>
    <w:rsid w:val="00FD084D"/>
    <w:rsid w:val="00FD1146"/>
    <w:rsid w:val="00FD1554"/>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17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6C8D"/>
    <w:rsid w:val="00FE7101"/>
    <w:rsid w:val="00FE71AE"/>
    <w:rsid w:val="00FE7750"/>
    <w:rsid w:val="00FE79BE"/>
    <w:rsid w:val="00FE7B8C"/>
    <w:rsid w:val="00FE7C6E"/>
    <w:rsid w:val="00FF00E9"/>
    <w:rsid w:val="00FF0330"/>
    <w:rsid w:val="00FF0414"/>
    <w:rsid w:val="00FF0423"/>
    <w:rsid w:val="00FF04CA"/>
    <w:rsid w:val="00FF056F"/>
    <w:rsid w:val="00FF065F"/>
    <w:rsid w:val="00FF0AE5"/>
    <w:rsid w:val="00FF0C79"/>
    <w:rsid w:val="00FF167B"/>
    <w:rsid w:val="00FF2222"/>
    <w:rsid w:val="00FF25F7"/>
    <w:rsid w:val="00FF282B"/>
    <w:rsid w:val="00FF2972"/>
    <w:rsid w:val="00FF2C5D"/>
    <w:rsid w:val="00FF3DC2"/>
    <w:rsid w:val="00FF4627"/>
    <w:rsid w:val="00FF547A"/>
    <w:rsid w:val="00FF54EE"/>
    <w:rsid w:val="00FF5913"/>
    <w:rsid w:val="00FF5E96"/>
    <w:rsid w:val="00FF62C6"/>
    <w:rsid w:val="00FF6388"/>
    <w:rsid w:val="00FF649A"/>
    <w:rsid w:val="00FF68B6"/>
    <w:rsid w:val="00FF7B2A"/>
    <w:rsid w:val="01097B79"/>
    <w:rsid w:val="01185E5C"/>
    <w:rsid w:val="01265791"/>
    <w:rsid w:val="01284E14"/>
    <w:rsid w:val="012A599E"/>
    <w:rsid w:val="01342903"/>
    <w:rsid w:val="0137077E"/>
    <w:rsid w:val="01395070"/>
    <w:rsid w:val="01524FE8"/>
    <w:rsid w:val="0153685F"/>
    <w:rsid w:val="016656C0"/>
    <w:rsid w:val="0170427A"/>
    <w:rsid w:val="018104CB"/>
    <w:rsid w:val="01A625AB"/>
    <w:rsid w:val="01B61CDD"/>
    <w:rsid w:val="01C40DDD"/>
    <w:rsid w:val="01C960A0"/>
    <w:rsid w:val="01D37172"/>
    <w:rsid w:val="01D706C2"/>
    <w:rsid w:val="01DA23AF"/>
    <w:rsid w:val="01E07299"/>
    <w:rsid w:val="01E274FB"/>
    <w:rsid w:val="01E763C8"/>
    <w:rsid w:val="01E817C1"/>
    <w:rsid w:val="01EA636A"/>
    <w:rsid w:val="01F359CB"/>
    <w:rsid w:val="01F76C4B"/>
    <w:rsid w:val="01FB1BCA"/>
    <w:rsid w:val="02162CED"/>
    <w:rsid w:val="02180C7E"/>
    <w:rsid w:val="022141A7"/>
    <w:rsid w:val="02240460"/>
    <w:rsid w:val="025316C7"/>
    <w:rsid w:val="02532284"/>
    <w:rsid w:val="02535CBD"/>
    <w:rsid w:val="02776BE2"/>
    <w:rsid w:val="027F799E"/>
    <w:rsid w:val="02812293"/>
    <w:rsid w:val="028D1FD3"/>
    <w:rsid w:val="02A03C9D"/>
    <w:rsid w:val="02A542F9"/>
    <w:rsid w:val="02BA2C72"/>
    <w:rsid w:val="02C4551B"/>
    <w:rsid w:val="02C62933"/>
    <w:rsid w:val="02CC171F"/>
    <w:rsid w:val="02D358E5"/>
    <w:rsid w:val="02D56624"/>
    <w:rsid w:val="02DD06B7"/>
    <w:rsid w:val="02E322B5"/>
    <w:rsid w:val="02E71453"/>
    <w:rsid w:val="02FC00B0"/>
    <w:rsid w:val="02FE031F"/>
    <w:rsid w:val="02FE29D2"/>
    <w:rsid w:val="0313544C"/>
    <w:rsid w:val="031E3C27"/>
    <w:rsid w:val="03271306"/>
    <w:rsid w:val="03364C39"/>
    <w:rsid w:val="033C2BF5"/>
    <w:rsid w:val="034A5744"/>
    <w:rsid w:val="03585DA0"/>
    <w:rsid w:val="035D2D41"/>
    <w:rsid w:val="036211E3"/>
    <w:rsid w:val="036244BF"/>
    <w:rsid w:val="03655CA8"/>
    <w:rsid w:val="03776491"/>
    <w:rsid w:val="037D49FB"/>
    <w:rsid w:val="03824859"/>
    <w:rsid w:val="0383331D"/>
    <w:rsid w:val="03855BFE"/>
    <w:rsid w:val="038C373E"/>
    <w:rsid w:val="03963ABA"/>
    <w:rsid w:val="039D7017"/>
    <w:rsid w:val="03A85387"/>
    <w:rsid w:val="03AA7B5F"/>
    <w:rsid w:val="03BD15D0"/>
    <w:rsid w:val="03C26479"/>
    <w:rsid w:val="03C439D8"/>
    <w:rsid w:val="03C71830"/>
    <w:rsid w:val="03E47515"/>
    <w:rsid w:val="03EC6A64"/>
    <w:rsid w:val="03F04E00"/>
    <w:rsid w:val="04095F8D"/>
    <w:rsid w:val="04447E77"/>
    <w:rsid w:val="044E1CF2"/>
    <w:rsid w:val="04597A82"/>
    <w:rsid w:val="045D12AD"/>
    <w:rsid w:val="04603F27"/>
    <w:rsid w:val="046229F6"/>
    <w:rsid w:val="04692B45"/>
    <w:rsid w:val="046B3792"/>
    <w:rsid w:val="04796D38"/>
    <w:rsid w:val="047C1332"/>
    <w:rsid w:val="04877F4F"/>
    <w:rsid w:val="04891E6A"/>
    <w:rsid w:val="04916893"/>
    <w:rsid w:val="049251C3"/>
    <w:rsid w:val="04934D6A"/>
    <w:rsid w:val="04942448"/>
    <w:rsid w:val="04A81243"/>
    <w:rsid w:val="04AB3ACC"/>
    <w:rsid w:val="04B41056"/>
    <w:rsid w:val="04B4790D"/>
    <w:rsid w:val="04BD4A66"/>
    <w:rsid w:val="04C26740"/>
    <w:rsid w:val="04D538A4"/>
    <w:rsid w:val="04E01BE6"/>
    <w:rsid w:val="04ED58F4"/>
    <w:rsid w:val="050E4D14"/>
    <w:rsid w:val="050E735A"/>
    <w:rsid w:val="05101565"/>
    <w:rsid w:val="05123C0E"/>
    <w:rsid w:val="0517575E"/>
    <w:rsid w:val="051A6227"/>
    <w:rsid w:val="051E617D"/>
    <w:rsid w:val="051F2A30"/>
    <w:rsid w:val="05207916"/>
    <w:rsid w:val="0529107D"/>
    <w:rsid w:val="05364A10"/>
    <w:rsid w:val="054E253C"/>
    <w:rsid w:val="05544226"/>
    <w:rsid w:val="05546B72"/>
    <w:rsid w:val="0559372E"/>
    <w:rsid w:val="05601D15"/>
    <w:rsid w:val="056D51B2"/>
    <w:rsid w:val="05744540"/>
    <w:rsid w:val="057D53E6"/>
    <w:rsid w:val="05807ACB"/>
    <w:rsid w:val="058E7E06"/>
    <w:rsid w:val="059748DE"/>
    <w:rsid w:val="05A44ECC"/>
    <w:rsid w:val="05A7349C"/>
    <w:rsid w:val="05B54980"/>
    <w:rsid w:val="05C007C6"/>
    <w:rsid w:val="05C13974"/>
    <w:rsid w:val="05C256CB"/>
    <w:rsid w:val="05C72C4A"/>
    <w:rsid w:val="05C86FFC"/>
    <w:rsid w:val="05D66DA1"/>
    <w:rsid w:val="05E43321"/>
    <w:rsid w:val="05EE2C1D"/>
    <w:rsid w:val="05F466EA"/>
    <w:rsid w:val="06013AE0"/>
    <w:rsid w:val="06024E45"/>
    <w:rsid w:val="061D06DC"/>
    <w:rsid w:val="062F0F2B"/>
    <w:rsid w:val="062F4041"/>
    <w:rsid w:val="063876A4"/>
    <w:rsid w:val="064778DF"/>
    <w:rsid w:val="064F62FE"/>
    <w:rsid w:val="06585F98"/>
    <w:rsid w:val="065B1F66"/>
    <w:rsid w:val="067107AD"/>
    <w:rsid w:val="067535B1"/>
    <w:rsid w:val="06792E74"/>
    <w:rsid w:val="067A65CC"/>
    <w:rsid w:val="067E5E2F"/>
    <w:rsid w:val="06816C78"/>
    <w:rsid w:val="0682270D"/>
    <w:rsid w:val="0687474B"/>
    <w:rsid w:val="068C3DC8"/>
    <w:rsid w:val="069762F5"/>
    <w:rsid w:val="06A27213"/>
    <w:rsid w:val="06AA6C8B"/>
    <w:rsid w:val="06AB256C"/>
    <w:rsid w:val="06B35B88"/>
    <w:rsid w:val="06BB4AD0"/>
    <w:rsid w:val="06BE3393"/>
    <w:rsid w:val="06CB4160"/>
    <w:rsid w:val="06D612B7"/>
    <w:rsid w:val="06DB3915"/>
    <w:rsid w:val="06DC1B10"/>
    <w:rsid w:val="06DF5D71"/>
    <w:rsid w:val="06EC6F8C"/>
    <w:rsid w:val="06F55595"/>
    <w:rsid w:val="06F8712F"/>
    <w:rsid w:val="06F9038A"/>
    <w:rsid w:val="070103DE"/>
    <w:rsid w:val="07096A6A"/>
    <w:rsid w:val="07183561"/>
    <w:rsid w:val="07201331"/>
    <w:rsid w:val="0720238F"/>
    <w:rsid w:val="072347E0"/>
    <w:rsid w:val="07366F15"/>
    <w:rsid w:val="07470644"/>
    <w:rsid w:val="074777CE"/>
    <w:rsid w:val="074B3407"/>
    <w:rsid w:val="075E291E"/>
    <w:rsid w:val="075F4D2E"/>
    <w:rsid w:val="07603D70"/>
    <w:rsid w:val="07643262"/>
    <w:rsid w:val="076B5857"/>
    <w:rsid w:val="07771691"/>
    <w:rsid w:val="077C323D"/>
    <w:rsid w:val="078D7776"/>
    <w:rsid w:val="07966FC7"/>
    <w:rsid w:val="079A79E3"/>
    <w:rsid w:val="079E5FC9"/>
    <w:rsid w:val="07A36A8F"/>
    <w:rsid w:val="07A96360"/>
    <w:rsid w:val="07AF472D"/>
    <w:rsid w:val="07B9146B"/>
    <w:rsid w:val="07D735F7"/>
    <w:rsid w:val="07D85670"/>
    <w:rsid w:val="07DD5954"/>
    <w:rsid w:val="07E33991"/>
    <w:rsid w:val="07F43213"/>
    <w:rsid w:val="07F6630D"/>
    <w:rsid w:val="081E545D"/>
    <w:rsid w:val="083E693B"/>
    <w:rsid w:val="08491408"/>
    <w:rsid w:val="084D5042"/>
    <w:rsid w:val="0853129E"/>
    <w:rsid w:val="08575FA1"/>
    <w:rsid w:val="085827EC"/>
    <w:rsid w:val="08644B70"/>
    <w:rsid w:val="086735A3"/>
    <w:rsid w:val="086D6B12"/>
    <w:rsid w:val="08706155"/>
    <w:rsid w:val="08730321"/>
    <w:rsid w:val="0883315A"/>
    <w:rsid w:val="08873A47"/>
    <w:rsid w:val="089F0A40"/>
    <w:rsid w:val="089F1C5C"/>
    <w:rsid w:val="08B22272"/>
    <w:rsid w:val="08B23A33"/>
    <w:rsid w:val="08BC189C"/>
    <w:rsid w:val="08BE14D6"/>
    <w:rsid w:val="08C47915"/>
    <w:rsid w:val="08CB05AB"/>
    <w:rsid w:val="08D27052"/>
    <w:rsid w:val="08D32ED8"/>
    <w:rsid w:val="08E7430C"/>
    <w:rsid w:val="08E94B44"/>
    <w:rsid w:val="08F04266"/>
    <w:rsid w:val="08FA0FEF"/>
    <w:rsid w:val="090E1ACE"/>
    <w:rsid w:val="091075FA"/>
    <w:rsid w:val="091A7764"/>
    <w:rsid w:val="091E62F3"/>
    <w:rsid w:val="09255ECB"/>
    <w:rsid w:val="092B562C"/>
    <w:rsid w:val="0935611C"/>
    <w:rsid w:val="09364165"/>
    <w:rsid w:val="093F7979"/>
    <w:rsid w:val="09464D68"/>
    <w:rsid w:val="095655D5"/>
    <w:rsid w:val="095D1288"/>
    <w:rsid w:val="095E086F"/>
    <w:rsid w:val="0970598A"/>
    <w:rsid w:val="097868FD"/>
    <w:rsid w:val="097A6ABB"/>
    <w:rsid w:val="097C3F46"/>
    <w:rsid w:val="09AF36E1"/>
    <w:rsid w:val="09B50AD7"/>
    <w:rsid w:val="09BD67E2"/>
    <w:rsid w:val="09C32890"/>
    <w:rsid w:val="09D05C72"/>
    <w:rsid w:val="09FE6E56"/>
    <w:rsid w:val="0A102C03"/>
    <w:rsid w:val="0A1A2592"/>
    <w:rsid w:val="0A204C57"/>
    <w:rsid w:val="0A226E39"/>
    <w:rsid w:val="0A362471"/>
    <w:rsid w:val="0A3B451B"/>
    <w:rsid w:val="0A432CAB"/>
    <w:rsid w:val="0A4B4837"/>
    <w:rsid w:val="0A56459C"/>
    <w:rsid w:val="0A5821F3"/>
    <w:rsid w:val="0A907698"/>
    <w:rsid w:val="0A997225"/>
    <w:rsid w:val="0AA1031E"/>
    <w:rsid w:val="0AA57C07"/>
    <w:rsid w:val="0AB03C77"/>
    <w:rsid w:val="0AB22970"/>
    <w:rsid w:val="0AB87C7B"/>
    <w:rsid w:val="0AC250B1"/>
    <w:rsid w:val="0AD20D0D"/>
    <w:rsid w:val="0AE323C5"/>
    <w:rsid w:val="0AE5319E"/>
    <w:rsid w:val="0AF278F9"/>
    <w:rsid w:val="0AF655CE"/>
    <w:rsid w:val="0B0C7FEC"/>
    <w:rsid w:val="0B0E4E77"/>
    <w:rsid w:val="0B2443EE"/>
    <w:rsid w:val="0B251306"/>
    <w:rsid w:val="0B424235"/>
    <w:rsid w:val="0B474033"/>
    <w:rsid w:val="0B504DC9"/>
    <w:rsid w:val="0B52613C"/>
    <w:rsid w:val="0B5B6073"/>
    <w:rsid w:val="0B6902FF"/>
    <w:rsid w:val="0B6C6569"/>
    <w:rsid w:val="0B6F316E"/>
    <w:rsid w:val="0B7000E5"/>
    <w:rsid w:val="0B71221C"/>
    <w:rsid w:val="0B7B0FB9"/>
    <w:rsid w:val="0B7C11DF"/>
    <w:rsid w:val="0B7F178F"/>
    <w:rsid w:val="0B8C1DA8"/>
    <w:rsid w:val="0B91053A"/>
    <w:rsid w:val="0B916CD0"/>
    <w:rsid w:val="0B9B3C6F"/>
    <w:rsid w:val="0BA157E0"/>
    <w:rsid w:val="0BA346F0"/>
    <w:rsid w:val="0BA852CC"/>
    <w:rsid w:val="0BAA5CA2"/>
    <w:rsid w:val="0BAE74DB"/>
    <w:rsid w:val="0BC1638D"/>
    <w:rsid w:val="0BCE4606"/>
    <w:rsid w:val="0BD03300"/>
    <w:rsid w:val="0BDD6757"/>
    <w:rsid w:val="0BE81026"/>
    <w:rsid w:val="0BEA7692"/>
    <w:rsid w:val="0C0E082E"/>
    <w:rsid w:val="0C381237"/>
    <w:rsid w:val="0C3A304E"/>
    <w:rsid w:val="0C3E1563"/>
    <w:rsid w:val="0C3E24A5"/>
    <w:rsid w:val="0C476893"/>
    <w:rsid w:val="0C4C070E"/>
    <w:rsid w:val="0C5267CD"/>
    <w:rsid w:val="0C5705EF"/>
    <w:rsid w:val="0C657023"/>
    <w:rsid w:val="0C6874A9"/>
    <w:rsid w:val="0C7249B2"/>
    <w:rsid w:val="0C762CD4"/>
    <w:rsid w:val="0C782A46"/>
    <w:rsid w:val="0C8A677F"/>
    <w:rsid w:val="0C8F1A50"/>
    <w:rsid w:val="0C980E30"/>
    <w:rsid w:val="0C985340"/>
    <w:rsid w:val="0C994C14"/>
    <w:rsid w:val="0C9A601A"/>
    <w:rsid w:val="0CB82678"/>
    <w:rsid w:val="0CBD3875"/>
    <w:rsid w:val="0CC2677E"/>
    <w:rsid w:val="0CC41EE7"/>
    <w:rsid w:val="0CCF5D4D"/>
    <w:rsid w:val="0CD64F3A"/>
    <w:rsid w:val="0CD7651F"/>
    <w:rsid w:val="0CDC016B"/>
    <w:rsid w:val="0CDD0434"/>
    <w:rsid w:val="0CF32576"/>
    <w:rsid w:val="0CFB142B"/>
    <w:rsid w:val="0D1057E7"/>
    <w:rsid w:val="0D1E5CDA"/>
    <w:rsid w:val="0D236E25"/>
    <w:rsid w:val="0D3463E4"/>
    <w:rsid w:val="0D3606B5"/>
    <w:rsid w:val="0D360803"/>
    <w:rsid w:val="0D3A08A9"/>
    <w:rsid w:val="0D3F7F5D"/>
    <w:rsid w:val="0D406E04"/>
    <w:rsid w:val="0D494E29"/>
    <w:rsid w:val="0D542184"/>
    <w:rsid w:val="0D75660B"/>
    <w:rsid w:val="0D75742F"/>
    <w:rsid w:val="0D8C7158"/>
    <w:rsid w:val="0D8D7D5B"/>
    <w:rsid w:val="0D9720FC"/>
    <w:rsid w:val="0D9C3D36"/>
    <w:rsid w:val="0D9C4FA7"/>
    <w:rsid w:val="0DA27C4A"/>
    <w:rsid w:val="0DAA40BE"/>
    <w:rsid w:val="0DAA74A9"/>
    <w:rsid w:val="0DAB390A"/>
    <w:rsid w:val="0DB40520"/>
    <w:rsid w:val="0DB461AA"/>
    <w:rsid w:val="0DC21F49"/>
    <w:rsid w:val="0DDC7E26"/>
    <w:rsid w:val="0DDE52CA"/>
    <w:rsid w:val="0DE864CF"/>
    <w:rsid w:val="0DEB1C39"/>
    <w:rsid w:val="0DEE139E"/>
    <w:rsid w:val="0DF66254"/>
    <w:rsid w:val="0DFD107F"/>
    <w:rsid w:val="0E0811F0"/>
    <w:rsid w:val="0E091DAC"/>
    <w:rsid w:val="0E1718C3"/>
    <w:rsid w:val="0E1F284E"/>
    <w:rsid w:val="0E257293"/>
    <w:rsid w:val="0E584AD3"/>
    <w:rsid w:val="0E5F1A11"/>
    <w:rsid w:val="0E612CFB"/>
    <w:rsid w:val="0E615A33"/>
    <w:rsid w:val="0E6179B4"/>
    <w:rsid w:val="0E707BF7"/>
    <w:rsid w:val="0E8575A6"/>
    <w:rsid w:val="0E85774E"/>
    <w:rsid w:val="0E8B6526"/>
    <w:rsid w:val="0E946118"/>
    <w:rsid w:val="0E996540"/>
    <w:rsid w:val="0E9E3431"/>
    <w:rsid w:val="0EA2308E"/>
    <w:rsid w:val="0EA77F3C"/>
    <w:rsid w:val="0EAE6781"/>
    <w:rsid w:val="0EB00DB3"/>
    <w:rsid w:val="0EB43D1A"/>
    <w:rsid w:val="0EB70AC1"/>
    <w:rsid w:val="0ED600BF"/>
    <w:rsid w:val="0EDC0796"/>
    <w:rsid w:val="0EDC1F41"/>
    <w:rsid w:val="0EE77EB9"/>
    <w:rsid w:val="0EED213A"/>
    <w:rsid w:val="0EFB4113"/>
    <w:rsid w:val="0F03493E"/>
    <w:rsid w:val="0F0D5912"/>
    <w:rsid w:val="0F0D7267"/>
    <w:rsid w:val="0F114F36"/>
    <w:rsid w:val="0F164AC1"/>
    <w:rsid w:val="0F2F6013"/>
    <w:rsid w:val="0F3635F3"/>
    <w:rsid w:val="0F3B40F8"/>
    <w:rsid w:val="0F5D2932"/>
    <w:rsid w:val="0F793BFA"/>
    <w:rsid w:val="0F7A75AE"/>
    <w:rsid w:val="0F881AD4"/>
    <w:rsid w:val="0F8C662B"/>
    <w:rsid w:val="0F9C6413"/>
    <w:rsid w:val="0FA059CA"/>
    <w:rsid w:val="0FA378C2"/>
    <w:rsid w:val="0FA41546"/>
    <w:rsid w:val="0FA945B6"/>
    <w:rsid w:val="0FB23173"/>
    <w:rsid w:val="0FB5541F"/>
    <w:rsid w:val="0FD07B85"/>
    <w:rsid w:val="0FDD306A"/>
    <w:rsid w:val="0FE4089C"/>
    <w:rsid w:val="0FED6DA6"/>
    <w:rsid w:val="0FF94348"/>
    <w:rsid w:val="0FFD3F73"/>
    <w:rsid w:val="100952E4"/>
    <w:rsid w:val="100B7EEA"/>
    <w:rsid w:val="1010343F"/>
    <w:rsid w:val="10116CC6"/>
    <w:rsid w:val="10205F68"/>
    <w:rsid w:val="102E54F6"/>
    <w:rsid w:val="10345380"/>
    <w:rsid w:val="103E7A9B"/>
    <w:rsid w:val="10407FE1"/>
    <w:rsid w:val="10434DAD"/>
    <w:rsid w:val="10533F62"/>
    <w:rsid w:val="105716E7"/>
    <w:rsid w:val="10626BD6"/>
    <w:rsid w:val="106E4298"/>
    <w:rsid w:val="106F6655"/>
    <w:rsid w:val="108574CC"/>
    <w:rsid w:val="108654B0"/>
    <w:rsid w:val="108A323A"/>
    <w:rsid w:val="10945E1E"/>
    <w:rsid w:val="10961B97"/>
    <w:rsid w:val="10A122E9"/>
    <w:rsid w:val="10A23F1C"/>
    <w:rsid w:val="10A52E9B"/>
    <w:rsid w:val="10B023C0"/>
    <w:rsid w:val="10BB3C21"/>
    <w:rsid w:val="10D12BCF"/>
    <w:rsid w:val="10DB1C9F"/>
    <w:rsid w:val="10F16DCD"/>
    <w:rsid w:val="112348B4"/>
    <w:rsid w:val="11252103"/>
    <w:rsid w:val="11284932"/>
    <w:rsid w:val="112C42A9"/>
    <w:rsid w:val="113413B0"/>
    <w:rsid w:val="113849FC"/>
    <w:rsid w:val="11467468"/>
    <w:rsid w:val="11476D6F"/>
    <w:rsid w:val="115B04C6"/>
    <w:rsid w:val="115B0613"/>
    <w:rsid w:val="116F702A"/>
    <w:rsid w:val="116F7EBA"/>
    <w:rsid w:val="11733B3A"/>
    <w:rsid w:val="117368E9"/>
    <w:rsid w:val="117F19A5"/>
    <w:rsid w:val="11803E3B"/>
    <w:rsid w:val="11A61B83"/>
    <w:rsid w:val="11AA7CE5"/>
    <w:rsid w:val="11AB0191"/>
    <w:rsid w:val="11BC19B4"/>
    <w:rsid w:val="11C37AF8"/>
    <w:rsid w:val="11CA01E4"/>
    <w:rsid w:val="11CB6EEB"/>
    <w:rsid w:val="11CE710E"/>
    <w:rsid w:val="11D04EBA"/>
    <w:rsid w:val="11D521F7"/>
    <w:rsid w:val="11DA169D"/>
    <w:rsid w:val="11DD1A47"/>
    <w:rsid w:val="11DD2E09"/>
    <w:rsid w:val="11F23340"/>
    <w:rsid w:val="11F50F86"/>
    <w:rsid w:val="11FB1AFA"/>
    <w:rsid w:val="12092999"/>
    <w:rsid w:val="120D5C80"/>
    <w:rsid w:val="120F0AB5"/>
    <w:rsid w:val="121424C3"/>
    <w:rsid w:val="12152F8F"/>
    <w:rsid w:val="12230A25"/>
    <w:rsid w:val="122B514D"/>
    <w:rsid w:val="123675A1"/>
    <w:rsid w:val="124424BE"/>
    <w:rsid w:val="12446061"/>
    <w:rsid w:val="12483AC2"/>
    <w:rsid w:val="124A58C5"/>
    <w:rsid w:val="124B1D03"/>
    <w:rsid w:val="124C41A9"/>
    <w:rsid w:val="124F64A1"/>
    <w:rsid w:val="12562953"/>
    <w:rsid w:val="12647FF7"/>
    <w:rsid w:val="1276280A"/>
    <w:rsid w:val="127B0FBC"/>
    <w:rsid w:val="128E5888"/>
    <w:rsid w:val="12947380"/>
    <w:rsid w:val="12E93E96"/>
    <w:rsid w:val="12F65081"/>
    <w:rsid w:val="12FF7778"/>
    <w:rsid w:val="13070604"/>
    <w:rsid w:val="134C0F84"/>
    <w:rsid w:val="135C6122"/>
    <w:rsid w:val="135D4CFC"/>
    <w:rsid w:val="13623D0A"/>
    <w:rsid w:val="136524E8"/>
    <w:rsid w:val="13652D77"/>
    <w:rsid w:val="137238C4"/>
    <w:rsid w:val="1379754E"/>
    <w:rsid w:val="137A6968"/>
    <w:rsid w:val="13807929"/>
    <w:rsid w:val="1398491D"/>
    <w:rsid w:val="139C6EB7"/>
    <w:rsid w:val="13A50381"/>
    <w:rsid w:val="13AA0D11"/>
    <w:rsid w:val="13C04B96"/>
    <w:rsid w:val="13C0751A"/>
    <w:rsid w:val="13D349CB"/>
    <w:rsid w:val="13D4344A"/>
    <w:rsid w:val="13D604FC"/>
    <w:rsid w:val="13D73FBA"/>
    <w:rsid w:val="13DA4D31"/>
    <w:rsid w:val="13E35A30"/>
    <w:rsid w:val="13E367F8"/>
    <w:rsid w:val="13F80330"/>
    <w:rsid w:val="13FA392F"/>
    <w:rsid w:val="13FC61B5"/>
    <w:rsid w:val="14033D75"/>
    <w:rsid w:val="14035E61"/>
    <w:rsid w:val="140F7932"/>
    <w:rsid w:val="141A488D"/>
    <w:rsid w:val="141A663B"/>
    <w:rsid w:val="141A7667"/>
    <w:rsid w:val="141B60E9"/>
    <w:rsid w:val="141D5EB6"/>
    <w:rsid w:val="14217DA6"/>
    <w:rsid w:val="142450EE"/>
    <w:rsid w:val="142626F1"/>
    <w:rsid w:val="14276FAA"/>
    <w:rsid w:val="14281EF4"/>
    <w:rsid w:val="142B6BC4"/>
    <w:rsid w:val="14355F11"/>
    <w:rsid w:val="14357563"/>
    <w:rsid w:val="143B4DEB"/>
    <w:rsid w:val="143F371B"/>
    <w:rsid w:val="144B2C49"/>
    <w:rsid w:val="14583EBC"/>
    <w:rsid w:val="145E35A6"/>
    <w:rsid w:val="14666054"/>
    <w:rsid w:val="146A1F1B"/>
    <w:rsid w:val="147745A1"/>
    <w:rsid w:val="14785EF3"/>
    <w:rsid w:val="14787805"/>
    <w:rsid w:val="148058A7"/>
    <w:rsid w:val="14887A48"/>
    <w:rsid w:val="1490546B"/>
    <w:rsid w:val="14942891"/>
    <w:rsid w:val="14964BCE"/>
    <w:rsid w:val="14977C8B"/>
    <w:rsid w:val="149B0B4A"/>
    <w:rsid w:val="149D4212"/>
    <w:rsid w:val="14A80E58"/>
    <w:rsid w:val="14BE3617"/>
    <w:rsid w:val="14C1461A"/>
    <w:rsid w:val="14C173FE"/>
    <w:rsid w:val="14C342FB"/>
    <w:rsid w:val="14CA0466"/>
    <w:rsid w:val="14CD4882"/>
    <w:rsid w:val="14CF4894"/>
    <w:rsid w:val="14F66DC2"/>
    <w:rsid w:val="14FA09BB"/>
    <w:rsid w:val="14FE2EA5"/>
    <w:rsid w:val="15017C76"/>
    <w:rsid w:val="150807E9"/>
    <w:rsid w:val="150A27E0"/>
    <w:rsid w:val="15192552"/>
    <w:rsid w:val="15326D43"/>
    <w:rsid w:val="153656F6"/>
    <w:rsid w:val="15432F59"/>
    <w:rsid w:val="15446705"/>
    <w:rsid w:val="155142DE"/>
    <w:rsid w:val="155947B0"/>
    <w:rsid w:val="155C5B2A"/>
    <w:rsid w:val="156B4B02"/>
    <w:rsid w:val="156C2EC6"/>
    <w:rsid w:val="157416CF"/>
    <w:rsid w:val="15785D0F"/>
    <w:rsid w:val="157E217F"/>
    <w:rsid w:val="15861985"/>
    <w:rsid w:val="1588053C"/>
    <w:rsid w:val="159B3128"/>
    <w:rsid w:val="159E5BE6"/>
    <w:rsid w:val="15AC562F"/>
    <w:rsid w:val="15B17DEF"/>
    <w:rsid w:val="15E70E21"/>
    <w:rsid w:val="15F964A6"/>
    <w:rsid w:val="16051D7A"/>
    <w:rsid w:val="160738D3"/>
    <w:rsid w:val="160A50CA"/>
    <w:rsid w:val="160D5E6A"/>
    <w:rsid w:val="161815DC"/>
    <w:rsid w:val="162074D6"/>
    <w:rsid w:val="16246677"/>
    <w:rsid w:val="162F1770"/>
    <w:rsid w:val="163559AE"/>
    <w:rsid w:val="164C2E3D"/>
    <w:rsid w:val="164D0A2F"/>
    <w:rsid w:val="164F7A91"/>
    <w:rsid w:val="165D133B"/>
    <w:rsid w:val="16793F2F"/>
    <w:rsid w:val="16902FF3"/>
    <w:rsid w:val="1691227C"/>
    <w:rsid w:val="16922CCB"/>
    <w:rsid w:val="16927796"/>
    <w:rsid w:val="169A45C7"/>
    <w:rsid w:val="16B10105"/>
    <w:rsid w:val="16B313BF"/>
    <w:rsid w:val="16C12F4B"/>
    <w:rsid w:val="16C13E3E"/>
    <w:rsid w:val="16C33C21"/>
    <w:rsid w:val="16C730F7"/>
    <w:rsid w:val="16D361A6"/>
    <w:rsid w:val="16E2339D"/>
    <w:rsid w:val="16EA57E0"/>
    <w:rsid w:val="16ED0D4C"/>
    <w:rsid w:val="17127A9D"/>
    <w:rsid w:val="1719349F"/>
    <w:rsid w:val="172436D6"/>
    <w:rsid w:val="1729416D"/>
    <w:rsid w:val="173F5F8B"/>
    <w:rsid w:val="17496C17"/>
    <w:rsid w:val="17521130"/>
    <w:rsid w:val="17545E40"/>
    <w:rsid w:val="17653A69"/>
    <w:rsid w:val="17663D3A"/>
    <w:rsid w:val="176957FD"/>
    <w:rsid w:val="176A0E26"/>
    <w:rsid w:val="176B319B"/>
    <w:rsid w:val="17771FF6"/>
    <w:rsid w:val="17793FC0"/>
    <w:rsid w:val="17870005"/>
    <w:rsid w:val="178A4283"/>
    <w:rsid w:val="178E0DE1"/>
    <w:rsid w:val="17A03ED2"/>
    <w:rsid w:val="17A74645"/>
    <w:rsid w:val="17A74DE2"/>
    <w:rsid w:val="17A94B72"/>
    <w:rsid w:val="17AD0E8D"/>
    <w:rsid w:val="17AF2623"/>
    <w:rsid w:val="17C03FA8"/>
    <w:rsid w:val="17C32F16"/>
    <w:rsid w:val="17C90AA4"/>
    <w:rsid w:val="17C935AD"/>
    <w:rsid w:val="17D92497"/>
    <w:rsid w:val="17DC48EE"/>
    <w:rsid w:val="17E07605"/>
    <w:rsid w:val="17F322C8"/>
    <w:rsid w:val="17FA17E7"/>
    <w:rsid w:val="18105A34"/>
    <w:rsid w:val="18142F29"/>
    <w:rsid w:val="18215292"/>
    <w:rsid w:val="18396AC0"/>
    <w:rsid w:val="18572966"/>
    <w:rsid w:val="187529D9"/>
    <w:rsid w:val="188C5197"/>
    <w:rsid w:val="189149A2"/>
    <w:rsid w:val="18923DCD"/>
    <w:rsid w:val="189B5E4A"/>
    <w:rsid w:val="18A3257C"/>
    <w:rsid w:val="18A91672"/>
    <w:rsid w:val="18AA3E77"/>
    <w:rsid w:val="18AE6CC5"/>
    <w:rsid w:val="18B5769A"/>
    <w:rsid w:val="18BA663E"/>
    <w:rsid w:val="18BD6659"/>
    <w:rsid w:val="18CA2601"/>
    <w:rsid w:val="18D91166"/>
    <w:rsid w:val="18E02A66"/>
    <w:rsid w:val="18F23557"/>
    <w:rsid w:val="18F2658E"/>
    <w:rsid w:val="18F67A50"/>
    <w:rsid w:val="19033123"/>
    <w:rsid w:val="19225CD0"/>
    <w:rsid w:val="19241D0A"/>
    <w:rsid w:val="1924539C"/>
    <w:rsid w:val="1931017A"/>
    <w:rsid w:val="19393A07"/>
    <w:rsid w:val="193E726F"/>
    <w:rsid w:val="194C0E04"/>
    <w:rsid w:val="194D1260"/>
    <w:rsid w:val="19540841"/>
    <w:rsid w:val="1955254E"/>
    <w:rsid w:val="195C1F0C"/>
    <w:rsid w:val="195F08E7"/>
    <w:rsid w:val="19616ABA"/>
    <w:rsid w:val="19622F5E"/>
    <w:rsid w:val="19630AF9"/>
    <w:rsid w:val="19645A6F"/>
    <w:rsid w:val="19662322"/>
    <w:rsid w:val="19711559"/>
    <w:rsid w:val="19742A0A"/>
    <w:rsid w:val="197579B0"/>
    <w:rsid w:val="19762565"/>
    <w:rsid w:val="19783C6C"/>
    <w:rsid w:val="19801636"/>
    <w:rsid w:val="19805DF3"/>
    <w:rsid w:val="19832ED4"/>
    <w:rsid w:val="19865B44"/>
    <w:rsid w:val="198E50F6"/>
    <w:rsid w:val="19A236DB"/>
    <w:rsid w:val="19A54BF8"/>
    <w:rsid w:val="19A65A2B"/>
    <w:rsid w:val="19A90731"/>
    <w:rsid w:val="19AC79E7"/>
    <w:rsid w:val="19BA0578"/>
    <w:rsid w:val="19CA31AD"/>
    <w:rsid w:val="19D419FA"/>
    <w:rsid w:val="19DB60D7"/>
    <w:rsid w:val="19EE380A"/>
    <w:rsid w:val="19F43B2B"/>
    <w:rsid w:val="19F73DCE"/>
    <w:rsid w:val="19F86FAC"/>
    <w:rsid w:val="19F90672"/>
    <w:rsid w:val="1A0C1BB5"/>
    <w:rsid w:val="1A1324AA"/>
    <w:rsid w:val="1A1720E3"/>
    <w:rsid w:val="1A2631DF"/>
    <w:rsid w:val="1A2B6B53"/>
    <w:rsid w:val="1A42341B"/>
    <w:rsid w:val="1A46299C"/>
    <w:rsid w:val="1A4E388A"/>
    <w:rsid w:val="1A587EBD"/>
    <w:rsid w:val="1A6828D6"/>
    <w:rsid w:val="1A8E5FAA"/>
    <w:rsid w:val="1A90757C"/>
    <w:rsid w:val="1AA45216"/>
    <w:rsid w:val="1AA935A9"/>
    <w:rsid w:val="1AAC2222"/>
    <w:rsid w:val="1AB816F5"/>
    <w:rsid w:val="1ACF410A"/>
    <w:rsid w:val="1ADD0C85"/>
    <w:rsid w:val="1AFA25F1"/>
    <w:rsid w:val="1B000A6F"/>
    <w:rsid w:val="1B081FC3"/>
    <w:rsid w:val="1B1261DA"/>
    <w:rsid w:val="1B190F63"/>
    <w:rsid w:val="1B193B3F"/>
    <w:rsid w:val="1B203AC6"/>
    <w:rsid w:val="1B25593D"/>
    <w:rsid w:val="1B3E1F36"/>
    <w:rsid w:val="1B3F2E49"/>
    <w:rsid w:val="1B4154E1"/>
    <w:rsid w:val="1B49021B"/>
    <w:rsid w:val="1B530684"/>
    <w:rsid w:val="1B546553"/>
    <w:rsid w:val="1B5A2A6B"/>
    <w:rsid w:val="1B5C1C2F"/>
    <w:rsid w:val="1B661EA8"/>
    <w:rsid w:val="1B766FBD"/>
    <w:rsid w:val="1B787413"/>
    <w:rsid w:val="1B7E6B75"/>
    <w:rsid w:val="1B8A60CF"/>
    <w:rsid w:val="1B8B0700"/>
    <w:rsid w:val="1B933EB4"/>
    <w:rsid w:val="1B940146"/>
    <w:rsid w:val="1BBF6CE5"/>
    <w:rsid w:val="1BC2672F"/>
    <w:rsid w:val="1BD476D4"/>
    <w:rsid w:val="1BE063BC"/>
    <w:rsid w:val="1BEA5071"/>
    <w:rsid w:val="1BF41E67"/>
    <w:rsid w:val="1BF4247F"/>
    <w:rsid w:val="1BFA4187"/>
    <w:rsid w:val="1C0659C6"/>
    <w:rsid w:val="1C0B7892"/>
    <w:rsid w:val="1C146065"/>
    <w:rsid w:val="1C22722E"/>
    <w:rsid w:val="1C2B56F6"/>
    <w:rsid w:val="1C3B5F1F"/>
    <w:rsid w:val="1C5950B9"/>
    <w:rsid w:val="1C7F09F1"/>
    <w:rsid w:val="1C7F168E"/>
    <w:rsid w:val="1C902289"/>
    <w:rsid w:val="1C926D66"/>
    <w:rsid w:val="1C9A2D97"/>
    <w:rsid w:val="1C9B6E2D"/>
    <w:rsid w:val="1CA06DF2"/>
    <w:rsid w:val="1CCB76D1"/>
    <w:rsid w:val="1CD0621D"/>
    <w:rsid w:val="1CD072AF"/>
    <w:rsid w:val="1CEB326A"/>
    <w:rsid w:val="1D1000E6"/>
    <w:rsid w:val="1D167BBB"/>
    <w:rsid w:val="1D17153B"/>
    <w:rsid w:val="1D253A81"/>
    <w:rsid w:val="1D2C0953"/>
    <w:rsid w:val="1D2C5888"/>
    <w:rsid w:val="1D3C0D82"/>
    <w:rsid w:val="1D41732E"/>
    <w:rsid w:val="1D475D11"/>
    <w:rsid w:val="1D4B1F5B"/>
    <w:rsid w:val="1D517A01"/>
    <w:rsid w:val="1D6A5B9D"/>
    <w:rsid w:val="1D6D286F"/>
    <w:rsid w:val="1D754BB9"/>
    <w:rsid w:val="1D7A000E"/>
    <w:rsid w:val="1D7E131B"/>
    <w:rsid w:val="1D8316F5"/>
    <w:rsid w:val="1D865E97"/>
    <w:rsid w:val="1D875ADE"/>
    <w:rsid w:val="1D8B2357"/>
    <w:rsid w:val="1D8B4DA1"/>
    <w:rsid w:val="1D90676A"/>
    <w:rsid w:val="1D9C2B50"/>
    <w:rsid w:val="1D9D7C95"/>
    <w:rsid w:val="1DAA6C81"/>
    <w:rsid w:val="1DB25484"/>
    <w:rsid w:val="1DBD1F1B"/>
    <w:rsid w:val="1DC2479B"/>
    <w:rsid w:val="1DC6338F"/>
    <w:rsid w:val="1DC835AB"/>
    <w:rsid w:val="1DC97785"/>
    <w:rsid w:val="1DCA1810"/>
    <w:rsid w:val="1DCF493A"/>
    <w:rsid w:val="1DD42672"/>
    <w:rsid w:val="1DD47BD8"/>
    <w:rsid w:val="1DD9031B"/>
    <w:rsid w:val="1DE04FD0"/>
    <w:rsid w:val="1DF37FBA"/>
    <w:rsid w:val="1DF42B2E"/>
    <w:rsid w:val="1DF468D5"/>
    <w:rsid w:val="1DFA1281"/>
    <w:rsid w:val="1E1C0B92"/>
    <w:rsid w:val="1E1E3996"/>
    <w:rsid w:val="1E235B8E"/>
    <w:rsid w:val="1E3572B4"/>
    <w:rsid w:val="1E474F60"/>
    <w:rsid w:val="1E581B6D"/>
    <w:rsid w:val="1E655E3F"/>
    <w:rsid w:val="1E702A59"/>
    <w:rsid w:val="1E7A497B"/>
    <w:rsid w:val="1E7B79ED"/>
    <w:rsid w:val="1E7D17E5"/>
    <w:rsid w:val="1E7E5E73"/>
    <w:rsid w:val="1E7F1C07"/>
    <w:rsid w:val="1E81218F"/>
    <w:rsid w:val="1E85353B"/>
    <w:rsid w:val="1E902326"/>
    <w:rsid w:val="1E9364BB"/>
    <w:rsid w:val="1EA436CE"/>
    <w:rsid w:val="1EB0554F"/>
    <w:rsid w:val="1ED70BE9"/>
    <w:rsid w:val="1EE46FEC"/>
    <w:rsid w:val="1EE605EB"/>
    <w:rsid w:val="1EE64E9A"/>
    <w:rsid w:val="1EE71983"/>
    <w:rsid w:val="1EE75CB3"/>
    <w:rsid w:val="1EE92462"/>
    <w:rsid w:val="1EEB0A74"/>
    <w:rsid w:val="1EEE421A"/>
    <w:rsid w:val="1EF031A4"/>
    <w:rsid w:val="1EF1174E"/>
    <w:rsid w:val="1EF569C7"/>
    <w:rsid w:val="1EF8002C"/>
    <w:rsid w:val="1F026342"/>
    <w:rsid w:val="1F066139"/>
    <w:rsid w:val="1F2227F3"/>
    <w:rsid w:val="1F2871AC"/>
    <w:rsid w:val="1F2A3BCC"/>
    <w:rsid w:val="1F2B5BA0"/>
    <w:rsid w:val="1F3861FE"/>
    <w:rsid w:val="1F4C085B"/>
    <w:rsid w:val="1F564B81"/>
    <w:rsid w:val="1F58121E"/>
    <w:rsid w:val="1F5E36EA"/>
    <w:rsid w:val="1F6274C4"/>
    <w:rsid w:val="1F73409D"/>
    <w:rsid w:val="1F817EB6"/>
    <w:rsid w:val="1F823640"/>
    <w:rsid w:val="1F9B4FB8"/>
    <w:rsid w:val="1FA07553"/>
    <w:rsid w:val="1FC542A0"/>
    <w:rsid w:val="1FCC3186"/>
    <w:rsid w:val="1FCE7D89"/>
    <w:rsid w:val="1FDA2B30"/>
    <w:rsid w:val="1FDF4177"/>
    <w:rsid w:val="1FE12702"/>
    <w:rsid w:val="1FE22505"/>
    <w:rsid w:val="1FEA15B7"/>
    <w:rsid w:val="1FEA7178"/>
    <w:rsid w:val="1FEA7390"/>
    <w:rsid w:val="1FED72F9"/>
    <w:rsid w:val="1FEF4E1F"/>
    <w:rsid w:val="1FF45730"/>
    <w:rsid w:val="20196340"/>
    <w:rsid w:val="202B1AC3"/>
    <w:rsid w:val="202B6A99"/>
    <w:rsid w:val="203A1426"/>
    <w:rsid w:val="20636F06"/>
    <w:rsid w:val="20790826"/>
    <w:rsid w:val="207F00D8"/>
    <w:rsid w:val="208A1DE8"/>
    <w:rsid w:val="208C08C0"/>
    <w:rsid w:val="20911220"/>
    <w:rsid w:val="20921AE5"/>
    <w:rsid w:val="20A70BCE"/>
    <w:rsid w:val="20D8583A"/>
    <w:rsid w:val="20D95E48"/>
    <w:rsid w:val="20E53EFA"/>
    <w:rsid w:val="21352B51"/>
    <w:rsid w:val="21410299"/>
    <w:rsid w:val="21413ACD"/>
    <w:rsid w:val="21454CC2"/>
    <w:rsid w:val="214B2529"/>
    <w:rsid w:val="21670D4B"/>
    <w:rsid w:val="218302D6"/>
    <w:rsid w:val="219F4A17"/>
    <w:rsid w:val="21A91226"/>
    <w:rsid w:val="21B555A2"/>
    <w:rsid w:val="21B579A2"/>
    <w:rsid w:val="21D06ED2"/>
    <w:rsid w:val="21E21841"/>
    <w:rsid w:val="21E604A4"/>
    <w:rsid w:val="21ED08E4"/>
    <w:rsid w:val="21F1298E"/>
    <w:rsid w:val="21F20BF7"/>
    <w:rsid w:val="21FE7EEB"/>
    <w:rsid w:val="220E3A49"/>
    <w:rsid w:val="222801FB"/>
    <w:rsid w:val="222E18B2"/>
    <w:rsid w:val="2246211F"/>
    <w:rsid w:val="22513B6F"/>
    <w:rsid w:val="225706FB"/>
    <w:rsid w:val="22572D5B"/>
    <w:rsid w:val="225F3FF8"/>
    <w:rsid w:val="226A31BA"/>
    <w:rsid w:val="227D4D49"/>
    <w:rsid w:val="22801A20"/>
    <w:rsid w:val="2286469E"/>
    <w:rsid w:val="229020E4"/>
    <w:rsid w:val="2294579D"/>
    <w:rsid w:val="22BD7457"/>
    <w:rsid w:val="22C12272"/>
    <w:rsid w:val="22C20A38"/>
    <w:rsid w:val="22FC1CB6"/>
    <w:rsid w:val="22FC20A1"/>
    <w:rsid w:val="23056708"/>
    <w:rsid w:val="231A36C1"/>
    <w:rsid w:val="231D3FC2"/>
    <w:rsid w:val="23200A97"/>
    <w:rsid w:val="23203542"/>
    <w:rsid w:val="23261982"/>
    <w:rsid w:val="233823D2"/>
    <w:rsid w:val="236055F1"/>
    <w:rsid w:val="23667D2B"/>
    <w:rsid w:val="237C7B45"/>
    <w:rsid w:val="23827980"/>
    <w:rsid w:val="238409AA"/>
    <w:rsid w:val="23910CCA"/>
    <w:rsid w:val="23A777BF"/>
    <w:rsid w:val="23AF75DB"/>
    <w:rsid w:val="23B51EDC"/>
    <w:rsid w:val="23BD3997"/>
    <w:rsid w:val="23BF71FF"/>
    <w:rsid w:val="23C120F8"/>
    <w:rsid w:val="23C72534"/>
    <w:rsid w:val="23CB6CD9"/>
    <w:rsid w:val="23CF3B9F"/>
    <w:rsid w:val="23D83245"/>
    <w:rsid w:val="23DC0E1E"/>
    <w:rsid w:val="23EC4586"/>
    <w:rsid w:val="23EC723A"/>
    <w:rsid w:val="23FC5D5D"/>
    <w:rsid w:val="2406759C"/>
    <w:rsid w:val="240B7534"/>
    <w:rsid w:val="24102D51"/>
    <w:rsid w:val="24166017"/>
    <w:rsid w:val="24166FC1"/>
    <w:rsid w:val="241E1F43"/>
    <w:rsid w:val="2423375B"/>
    <w:rsid w:val="24240C87"/>
    <w:rsid w:val="242D175B"/>
    <w:rsid w:val="24427902"/>
    <w:rsid w:val="244A59E2"/>
    <w:rsid w:val="245139E7"/>
    <w:rsid w:val="24536634"/>
    <w:rsid w:val="24564EE1"/>
    <w:rsid w:val="24575F83"/>
    <w:rsid w:val="247162CB"/>
    <w:rsid w:val="247A4E6C"/>
    <w:rsid w:val="248C6643"/>
    <w:rsid w:val="249B2D85"/>
    <w:rsid w:val="249F7326"/>
    <w:rsid w:val="24A5341B"/>
    <w:rsid w:val="24B36FFF"/>
    <w:rsid w:val="24BA637F"/>
    <w:rsid w:val="24BC7835"/>
    <w:rsid w:val="24BD4359"/>
    <w:rsid w:val="24C92C1F"/>
    <w:rsid w:val="24EA1C3F"/>
    <w:rsid w:val="250F48CD"/>
    <w:rsid w:val="25157097"/>
    <w:rsid w:val="252A4F29"/>
    <w:rsid w:val="252D7EDC"/>
    <w:rsid w:val="25343356"/>
    <w:rsid w:val="25367819"/>
    <w:rsid w:val="253B62ED"/>
    <w:rsid w:val="25403586"/>
    <w:rsid w:val="254623D7"/>
    <w:rsid w:val="257162D7"/>
    <w:rsid w:val="257B0F03"/>
    <w:rsid w:val="257F5599"/>
    <w:rsid w:val="258A50ED"/>
    <w:rsid w:val="258D3591"/>
    <w:rsid w:val="259340F6"/>
    <w:rsid w:val="25985368"/>
    <w:rsid w:val="2599228C"/>
    <w:rsid w:val="25A555A4"/>
    <w:rsid w:val="25A55F54"/>
    <w:rsid w:val="25AC1221"/>
    <w:rsid w:val="25AD703B"/>
    <w:rsid w:val="25B368EF"/>
    <w:rsid w:val="25C66593"/>
    <w:rsid w:val="25D96FC7"/>
    <w:rsid w:val="25DE587E"/>
    <w:rsid w:val="25E116AE"/>
    <w:rsid w:val="25F13F59"/>
    <w:rsid w:val="25F276EF"/>
    <w:rsid w:val="25FD7B6A"/>
    <w:rsid w:val="25FD7F5A"/>
    <w:rsid w:val="260678C3"/>
    <w:rsid w:val="260B22E1"/>
    <w:rsid w:val="26190E48"/>
    <w:rsid w:val="26215F4F"/>
    <w:rsid w:val="26285466"/>
    <w:rsid w:val="264A1001"/>
    <w:rsid w:val="264B4071"/>
    <w:rsid w:val="26582561"/>
    <w:rsid w:val="2659342C"/>
    <w:rsid w:val="266243F1"/>
    <w:rsid w:val="266C2A3A"/>
    <w:rsid w:val="26726B5F"/>
    <w:rsid w:val="2692725A"/>
    <w:rsid w:val="269B38E3"/>
    <w:rsid w:val="269C55D5"/>
    <w:rsid w:val="26A03988"/>
    <w:rsid w:val="26A60B5D"/>
    <w:rsid w:val="26B27FDA"/>
    <w:rsid w:val="26B33298"/>
    <w:rsid w:val="26B66486"/>
    <w:rsid w:val="26BF02DB"/>
    <w:rsid w:val="26C822E2"/>
    <w:rsid w:val="26D20DE7"/>
    <w:rsid w:val="26DB7EAB"/>
    <w:rsid w:val="26EF07BB"/>
    <w:rsid w:val="26FC231E"/>
    <w:rsid w:val="26FE003E"/>
    <w:rsid w:val="2700590E"/>
    <w:rsid w:val="27023A81"/>
    <w:rsid w:val="27063945"/>
    <w:rsid w:val="270A192C"/>
    <w:rsid w:val="271105DD"/>
    <w:rsid w:val="271138CD"/>
    <w:rsid w:val="27191DB9"/>
    <w:rsid w:val="271E2548"/>
    <w:rsid w:val="272210FA"/>
    <w:rsid w:val="273270D1"/>
    <w:rsid w:val="27346357"/>
    <w:rsid w:val="27380BDE"/>
    <w:rsid w:val="273A7C33"/>
    <w:rsid w:val="27586C7A"/>
    <w:rsid w:val="27630ECE"/>
    <w:rsid w:val="27637EA1"/>
    <w:rsid w:val="27677991"/>
    <w:rsid w:val="276E2ACE"/>
    <w:rsid w:val="277D0F63"/>
    <w:rsid w:val="277E277E"/>
    <w:rsid w:val="277F5317"/>
    <w:rsid w:val="278725F0"/>
    <w:rsid w:val="278732D8"/>
    <w:rsid w:val="279B63E0"/>
    <w:rsid w:val="27AF5D51"/>
    <w:rsid w:val="27BE4DD0"/>
    <w:rsid w:val="27C53B56"/>
    <w:rsid w:val="27CE5C62"/>
    <w:rsid w:val="27DC7A7D"/>
    <w:rsid w:val="27DD2FAC"/>
    <w:rsid w:val="27E93769"/>
    <w:rsid w:val="27F136FF"/>
    <w:rsid w:val="27F24799"/>
    <w:rsid w:val="27F52FD8"/>
    <w:rsid w:val="27F82CDF"/>
    <w:rsid w:val="28020EDA"/>
    <w:rsid w:val="280C08E3"/>
    <w:rsid w:val="280D000E"/>
    <w:rsid w:val="280E60FA"/>
    <w:rsid w:val="281022BF"/>
    <w:rsid w:val="28114E6E"/>
    <w:rsid w:val="28285496"/>
    <w:rsid w:val="28315327"/>
    <w:rsid w:val="283902D2"/>
    <w:rsid w:val="28622D6C"/>
    <w:rsid w:val="286363AA"/>
    <w:rsid w:val="28651878"/>
    <w:rsid w:val="286914E7"/>
    <w:rsid w:val="28697830"/>
    <w:rsid w:val="286E3DC2"/>
    <w:rsid w:val="28800F82"/>
    <w:rsid w:val="28855269"/>
    <w:rsid w:val="289F3242"/>
    <w:rsid w:val="28A93FBD"/>
    <w:rsid w:val="28AF1D08"/>
    <w:rsid w:val="28AF5706"/>
    <w:rsid w:val="28B57353"/>
    <w:rsid w:val="28B67F4E"/>
    <w:rsid w:val="28C6692F"/>
    <w:rsid w:val="28DE24E8"/>
    <w:rsid w:val="28E55011"/>
    <w:rsid w:val="28E9418A"/>
    <w:rsid w:val="28EC0E63"/>
    <w:rsid w:val="28ED6AA1"/>
    <w:rsid w:val="28EF373E"/>
    <w:rsid w:val="28F37DE0"/>
    <w:rsid w:val="28F60946"/>
    <w:rsid w:val="28F81264"/>
    <w:rsid w:val="290F2F1B"/>
    <w:rsid w:val="292210FF"/>
    <w:rsid w:val="292819A2"/>
    <w:rsid w:val="292973B7"/>
    <w:rsid w:val="293D465D"/>
    <w:rsid w:val="293F0E54"/>
    <w:rsid w:val="293F552F"/>
    <w:rsid w:val="29442E5E"/>
    <w:rsid w:val="29543F45"/>
    <w:rsid w:val="29557CC0"/>
    <w:rsid w:val="29566AD5"/>
    <w:rsid w:val="29642BB8"/>
    <w:rsid w:val="29671702"/>
    <w:rsid w:val="296738AA"/>
    <w:rsid w:val="29840DCA"/>
    <w:rsid w:val="29937272"/>
    <w:rsid w:val="29AB1205"/>
    <w:rsid w:val="29B34712"/>
    <w:rsid w:val="29C72969"/>
    <w:rsid w:val="29C942A8"/>
    <w:rsid w:val="29CE0798"/>
    <w:rsid w:val="29CF356A"/>
    <w:rsid w:val="29D82A4D"/>
    <w:rsid w:val="29DC3032"/>
    <w:rsid w:val="29E60727"/>
    <w:rsid w:val="29E907C2"/>
    <w:rsid w:val="29EA0C59"/>
    <w:rsid w:val="29EC1D7B"/>
    <w:rsid w:val="29ED5DF1"/>
    <w:rsid w:val="29F67CF2"/>
    <w:rsid w:val="29F91838"/>
    <w:rsid w:val="29FA689B"/>
    <w:rsid w:val="29FB777B"/>
    <w:rsid w:val="2A064840"/>
    <w:rsid w:val="2A0911D4"/>
    <w:rsid w:val="2A0C1204"/>
    <w:rsid w:val="2A17774C"/>
    <w:rsid w:val="2A190230"/>
    <w:rsid w:val="2A1C32B0"/>
    <w:rsid w:val="2A2E0F97"/>
    <w:rsid w:val="2A320B9A"/>
    <w:rsid w:val="2A34580C"/>
    <w:rsid w:val="2A3F0B3B"/>
    <w:rsid w:val="2A42363D"/>
    <w:rsid w:val="2A472ED1"/>
    <w:rsid w:val="2A584C16"/>
    <w:rsid w:val="2A612DBE"/>
    <w:rsid w:val="2A695D70"/>
    <w:rsid w:val="2A6D3510"/>
    <w:rsid w:val="2A783D93"/>
    <w:rsid w:val="2A7913F8"/>
    <w:rsid w:val="2AA76D25"/>
    <w:rsid w:val="2AAD284E"/>
    <w:rsid w:val="2AAD6003"/>
    <w:rsid w:val="2AD922D5"/>
    <w:rsid w:val="2AF16562"/>
    <w:rsid w:val="2AF806BD"/>
    <w:rsid w:val="2B003384"/>
    <w:rsid w:val="2B087877"/>
    <w:rsid w:val="2B0F13ED"/>
    <w:rsid w:val="2B240021"/>
    <w:rsid w:val="2B2A1401"/>
    <w:rsid w:val="2B312790"/>
    <w:rsid w:val="2B3816AB"/>
    <w:rsid w:val="2B4E4BA3"/>
    <w:rsid w:val="2B540D0F"/>
    <w:rsid w:val="2B563FA5"/>
    <w:rsid w:val="2B6568DD"/>
    <w:rsid w:val="2B697D9A"/>
    <w:rsid w:val="2B732A8D"/>
    <w:rsid w:val="2B746B21"/>
    <w:rsid w:val="2B7C591E"/>
    <w:rsid w:val="2B7E5D9A"/>
    <w:rsid w:val="2B836D64"/>
    <w:rsid w:val="2B9022FF"/>
    <w:rsid w:val="2B954CAE"/>
    <w:rsid w:val="2B984948"/>
    <w:rsid w:val="2B9F1671"/>
    <w:rsid w:val="2BB31A46"/>
    <w:rsid w:val="2BB46F1D"/>
    <w:rsid w:val="2BBF6949"/>
    <w:rsid w:val="2BCD1923"/>
    <w:rsid w:val="2BD31A99"/>
    <w:rsid w:val="2BD33D28"/>
    <w:rsid w:val="2BDD2D68"/>
    <w:rsid w:val="2BF046C6"/>
    <w:rsid w:val="2C052A87"/>
    <w:rsid w:val="2C070FE8"/>
    <w:rsid w:val="2C097269"/>
    <w:rsid w:val="2C0C0B07"/>
    <w:rsid w:val="2C2E3173"/>
    <w:rsid w:val="2C4123F8"/>
    <w:rsid w:val="2C4B0A44"/>
    <w:rsid w:val="2C5C0A87"/>
    <w:rsid w:val="2C6B2B88"/>
    <w:rsid w:val="2C751737"/>
    <w:rsid w:val="2C7860A9"/>
    <w:rsid w:val="2C813E03"/>
    <w:rsid w:val="2C815051"/>
    <w:rsid w:val="2C89295F"/>
    <w:rsid w:val="2C93791D"/>
    <w:rsid w:val="2C95210E"/>
    <w:rsid w:val="2CA94ABE"/>
    <w:rsid w:val="2CAD3624"/>
    <w:rsid w:val="2CB53AE6"/>
    <w:rsid w:val="2CB62C03"/>
    <w:rsid w:val="2CB76CC5"/>
    <w:rsid w:val="2CBC042B"/>
    <w:rsid w:val="2CBC3313"/>
    <w:rsid w:val="2CC95BEE"/>
    <w:rsid w:val="2CCD3D32"/>
    <w:rsid w:val="2CEA52EC"/>
    <w:rsid w:val="2CEE5A73"/>
    <w:rsid w:val="2CFB41D2"/>
    <w:rsid w:val="2CFF066C"/>
    <w:rsid w:val="2D027874"/>
    <w:rsid w:val="2D063FE2"/>
    <w:rsid w:val="2D126FC5"/>
    <w:rsid w:val="2D1C37CA"/>
    <w:rsid w:val="2D1F7442"/>
    <w:rsid w:val="2D215F55"/>
    <w:rsid w:val="2D3F6E46"/>
    <w:rsid w:val="2D421AD2"/>
    <w:rsid w:val="2D460049"/>
    <w:rsid w:val="2D577161"/>
    <w:rsid w:val="2D5D6FD4"/>
    <w:rsid w:val="2D602562"/>
    <w:rsid w:val="2D627E50"/>
    <w:rsid w:val="2D720E3E"/>
    <w:rsid w:val="2D753097"/>
    <w:rsid w:val="2D7C088F"/>
    <w:rsid w:val="2D8172D3"/>
    <w:rsid w:val="2D833375"/>
    <w:rsid w:val="2D9333B4"/>
    <w:rsid w:val="2D9D4CF4"/>
    <w:rsid w:val="2DAF052C"/>
    <w:rsid w:val="2DB04ED5"/>
    <w:rsid w:val="2DB337BD"/>
    <w:rsid w:val="2DB81174"/>
    <w:rsid w:val="2DBA4734"/>
    <w:rsid w:val="2DBB0976"/>
    <w:rsid w:val="2DBF02C5"/>
    <w:rsid w:val="2DC22FBC"/>
    <w:rsid w:val="2DC53663"/>
    <w:rsid w:val="2DCF6290"/>
    <w:rsid w:val="2DDA3075"/>
    <w:rsid w:val="2DDA5D82"/>
    <w:rsid w:val="2DE31066"/>
    <w:rsid w:val="2DF135C9"/>
    <w:rsid w:val="2DF87595"/>
    <w:rsid w:val="2E002ED5"/>
    <w:rsid w:val="2E0069D9"/>
    <w:rsid w:val="2E322F72"/>
    <w:rsid w:val="2E324C75"/>
    <w:rsid w:val="2E3D469A"/>
    <w:rsid w:val="2E407F77"/>
    <w:rsid w:val="2E4C168F"/>
    <w:rsid w:val="2E5F21DD"/>
    <w:rsid w:val="2E62166D"/>
    <w:rsid w:val="2E650D3C"/>
    <w:rsid w:val="2E6B525A"/>
    <w:rsid w:val="2E6E124B"/>
    <w:rsid w:val="2E76670C"/>
    <w:rsid w:val="2E912BB3"/>
    <w:rsid w:val="2E95072C"/>
    <w:rsid w:val="2EA24A03"/>
    <w:rsid w:val="2EA535BD"/>
    <w:rsid w:val="2EA72D69"/>
    <w:rsid w:val="2EBA3DF2"/>
    <w:rsid w:val="2EC61441"/>
    <w:rsid w:val="2EE031D7"/>
    <w:rsid w:val="2EE950C8"/>
    <w:rsid w:val="2EEF4510"/>
    <w:rsid w:val="2EF1680D"/>
    <w:rsid w:val="2EF9267D"/>
    <w:rsid w:val="2EFF0FD8"/>
    <w:rsid w:val="2F0469CD"/>
    <w:rsid w:val="2F0E64CF"/>
    <w:rsid w:val="2F112658"/>
    <w:rsid w:val="2F162EA4"/>
    <w:rsid w:val="2F17146B"/>
    <w:rsid w:val="2F190463"/>
    <w:rsid w:val="2F1A1B42"/>
    <w:rsid w:val="2F1F16C8"/>
    <w:rsid w:val="2F245232"/>
    <w:rsid w:val="2F2B12E9"/>
    <w:rsid w:val="2F3A3BDD"/>
    <w:rsid w:val="2F3E191F"/>
    <w:rsid w:val="2F431078"/>
    <w:rsid w:val="2F5348ED"/>
    <w:rsid w:val="2F534C00"/>
    <w:rsid w:val="2F5D6F3E"/>
    <w:rsid w:val="2F615E06"/>
    <w:rsid w:val="2F674F0F"/>
    <w:rsid w:val="2F69083D"/>
    <w:rsid w:val="2F6B3D97"/>
    <w:rsid w:val="2F74599F"/>
    <w:rsid w:val="2F7A3CBF"/>
    <w:rsid w:val="2F953EB4"/>
    <w:rsid w:val="2F990058"/>
    <w:rsid w:val="2FA86D99"/>
    <w:rsid w:val="2FB120F1"/>
    <w:rsid w:val="2FB70CF2"/>
    <w:rsid w:val="2FB7522E"/>
    <w:rsid w:val="2FC46484"/>
    <w:rsid w:val="2FD4081B"/>
    <w:rsid w:val="2FD649BA"/>
    <w:rsid w:val="2FDF5AEE"/>
    <w:rsid w:val="2FE14539"/>
    <w:rsid w:val="2FEA115F"/>
    <w:rsid w:val="2FF06C35"/>
    <w:rsid w:val="30042C93"/>
    <w:rsid w:val="30044399"/>
    <w:rsid w:val="30170083"/>
    <w:rsid w:val="301C50A4"/>
    <w:rsid w:val="301E1925"/>
    <w:rsid w:val="30207EA6"/>
    <w:rsid w:val="30226DD3"/>
    <w:rsid w:val="30277D1C"/>
    <w:rsid w:val="30366D3A"/>
    <w:rsid w:val="30372959"/>
    <w:rsid w:val="303B4053"/>
    <w:rsid w:val="303C114F"/>
    <w:rsid w:val="303E53DD"/>
    <w:rsid w:val="30476F70"/>
    <w:rsid w:val="304C7BB2"/>
    <w:rsid w:val="304E5B92"/>
    <w:rsid w:val="30565A9C"/>
    <w:rsid w:val="305B4F44"/>
    <w:rsid w:val="30633C3B"/>
    <w:rsid w:val="30656D47"/>
    <w:rsid w:val="306802C6"/>
    <w:rsid w:val="3070005D"/>
    <w:rsid w:val="307554EA"/>
    <w:rsid w:val="30757DAB"/>
    <w:rsid w:val="30863F97"/>
    <w:rsid w:val="309D6D3A"/>
    <w:rsid w:val="30A6152A"/>
    <w:rsid w:val="30A90346"/>
    <w:rsid w:val="30B47367"/>
    <w:rsid w:val="30B54613"/>
    <w:rsid w:val="30D57E4D"/>
    <w:rsid w:val="30D74A22"/>
    <w:rsid w:val="30ED1F7A"/>
    <w:rsid w:val="30FC69B6"/>
    <w:rsid w:val="30FF104A"/>
    <w:rsid w:val="31073B12"/>
    <w:rsid w:val="310B3A83"/>
    <w:rsid w:val="311355CC"/>
    <w:rsid w:val="31277CE2"/>
    <w:rsid w:val="31401CF2"/>
    <w:rsid w:val="3141517A"/>
    <w:rsid w:val="314E6CBC"/>
    <w:rsid w:val="31603DCF"/>
    <w:rsid w:val="31792812"/>
    <w:rsid w:val="317F3B29"/>
    <w:rsid w:val="3189214B"/>
    <w:rsid w:val="318B24CE"/>
    <w:rsid w:val="318D6AB0"/>
    <w:rsid w:val="319161B5"/>
    <w:rsid w:val="319A611D"/>
    <w:rsid w:val="31A007FB"/>
    <w:rsid w:val="31A50DC8"/>
    <w:rsid w:val="31B075DC"/>
    <w:rsid w:val="31CB6FC8"/>
    <w:rsid w:val="31D515B8"/>
    <w:rsid w:val="31D54793"/>
    <w:rsid w:val="31D71BB7"/>
    <w:rsid w:val="31E45E5E"/>
    <w:rsid w:val="320A7971"/>
    <w:rsid w:val="320F0386"/>
    <w:rsid w:val="320F4EAD"/>
    <w:rsid w:val="32195FF7"/>
    <w:rsid w:val="321B5F48"/>
    <w:rsid w:val="321C75CA"/>
    <w:rsid w:val="3223555C"/>
    <w:rsid w:val="32244A82"/>
    <w:rsid w:val="322748ED"/>
    <w:rsid w:val="322E3B96"/>
    <w:rsid w:val="32522348"/>
    <w:rsid w:val="32744109"/>
    <w:rsid w:val="32787D25"/>
    <w:rsid w:val="32801CB6"/>
    <w:rsid w:val="328822B7"/>
    <w:rsid w:val="328B3846"/>
    <w:rsid w:val="329D3582"/>
    <w:rsid w:val="32A02DFC"/>
    <w:rsid w:val="32A91739"/>
    <w:rsid w:val="32AC44E9"/>
    <w:rsid w:val="32C6357C"/>
    <w:rsid w:val="32F04CDF"/>
    <w:rsid w:val="32F07795"/>
    <w:rsid w:val="32F1274D"/>
    <w:rsid w:val="32F6137C"/>
    <w:rsid w:val="32F83AA6"/>
    <w:rsid w:val="32F87249"/>
    <w:rsid w:val="32FE10C3"/>
    <w:rsid w:val="32FE2BF5"/>
    <w:rsid w:val="33115E0F"/>
    <w:rsid w:val="33181FD0"/>
    <w:rsid w:val="331942F6"/>
    <w:rsid w:val="33273832"/>
    <w:rsid w:val="33333133"/>
    <w:rsid w:val="33382209"/>
    <w:rsid w:val="33665059"/>
    <w:rsid w:val="337C4783"/>
    <w:rsid w:val="338A6296"/>
    <w:rsid w:val="339677A9"/>
    <w:rsid w:val="339A2E9C"/>
    <w:rsid w:val="33B51E64"/>
    <w:rsid w:val="33B81962"/>
    <w:rsid w:val="33B82D15"/>
    <w:rsid w:val="33C11EAD"/>
    <w:rsid w:val="33CE39EB"/>
    <w:rsid w:val="33D01B1A"/>
    <w:rsid w:val="33D23A93"/>
    <w:rsid w:val="33D73933"/>
    <w:rsid w:val="33D748C6"/>
    <w:rsid w:val="33D9052A"/>
    <w:rsid w:val="33D939C5"/>
    <w:rsid w:val="33DA3519"/>
    <w:rsid w:val="33E42967"/>
    <w:rsid w:val="33E86AE2"/>
    <w:rsid w:val="33F2287E"/>
    <w:rsid w:val="33F57067"/>
    <w:rsid w:val="34001071"/>
    <w:rsid w:val="34264A08"/>
    <w:rsid w:val="342B1D46"/>
    <w:rsid w:val="342E628A"/>
    <w:rsid w:val="34364EAB"/>
    <w:rsid w:val="34391C62"/>
    <w:rsid w:val="343A46DB"/>
    <w:rsid w:val="343C502F"/>
    <w:rsid w:val="343C7C22"/>
    <w:rsid w:val="34445E98"/>
    <w:rsid w:val="34464E1A"/>
    <w:rsid w:val="345474EF"/>
    <w:rsid w:val="3455441A"/>
    <w:rsid w:val="345614B9"/>
    <w:rsid w:val="345F24AD"/>
    <w:rsid w:val="347B5D20"/>
    <w:rsid w:val="34837293"/>
    <w:rsid w:val="34956229"/>
    <w:rsid w:val="34A264AC"/>
    <w:rsid w:val="34B86CDC"/>
    <w:rsid w:val="34C007AF"/>
    <w:rsid w:val="34C24EE8"/>
    <w:rsid w:val="34DA1912"/>
    <w:rsid w:val="34E14044"/>
    <w:rsid w:val="34ED583B"/>
    <w:rsid w:val="350348A2"/>
    <w:rsid w:val="350B22A4"/>
    <w:rsid w:val="350B6CD1"/>
    <w:rsid w:val="35156C7E"/>
    <w:rsid w:val="352073D1"/>
    <w:rsid w:val="35270760"/>
    <w:rsid w:val="35324F9E"/>
    <w:rsid w:val="353A3587"/>
    <w:rsid w:val="353D78BC"/>
    <w:rsid w:val="354457B6"/>
    <w:rsid w:val="3549133A"/>
    <w:rsid w:val="354D7A89"/>
    <w:rsid w:val="355325D3"/>
    <w:rsid w:val="3557414D"/>
    <w:rsid w:val="357F29AC"/>
    <w:rsid w:val="35845033"/>
    <w:rsid w:val="358D2394"/>
    <w:rsid w:val="358F0D50"/>
    <w:rsid w:val="35A51EA0"/>
    <w:rsid w:val="35A62056"/>
    <w:rsid w:val="35A67081"/>
    <w:rsid w:val="35AB1896"/>
    <w:rsid w:val="35AC6949"/>
    <w:rsid w:val="35BC06D2"/>
    <w:rsid w:val="35C50C7A"/>
    <w:rsid w:val="35CB558F"/>
    <w:rsid w:val="35CF32D1"/>
    <w:rsid w:val="35D53D7D"/>
    <w:rsid w:val="35DB7EC8"/>
    <w:rsid w:val="35DE28FA"/>
    <w:rsid w:val="35E23B11"/>
    <w:rsid w:val="35EC7AB6"/>
    <w:rsid w:val="35F155ED"/>
    <w:rsid w:val="35F70052"/>
    <w:rsid w:val="360931E6"/>
    <w:rsid w:val="360D5BA8"/>
    <w:rsid w:val="360E4570"/>
    <w:rsid w:val="361227C4"/>
    <w:rsid w:val="36165CD1"/>
    <w:rsid w:val="361C70D1"/>
    <w:rsid w:val="362A535F"/>
    <w:rsid w:val="362F3C1B"/>
    <w:rsid w:val="362F5B1E"/>
    <w:rsid w:val="36453ED6"/>
    <w:rsid w:val="364E5458"/>
    <w:rsid w:val="364F5169"/>
    <w:rsid w:val="364F5242"/>
    <w:rsid w:val="365C682C"/>
    <w:rsid w:val="366003CD"/>
    <w:rsid w:val="3664704C"/>
    <w:rsid w:val="36660724"/>
    <w:rsid w:val="366E4A0B"/>
    <w:rsid w:val="366F6234"/>
    <w:rsid w:val="36747319"/>
    <w:rsid w:val="367968C6"/>
    <w:rsid w:val="367E5478"/>
    <w:rsid w:val="36814D91"/>
    <w:rsid w:val="368F4F9A"/>
    <w:rsid w:val="3699568D"/>
    <w:rsid w:val="36A95AC9"/>
    <w:rsid w:val="36AC1AA0"/>
    <w:rsid w:val="36AE738B"/>
    <w:rsid w:val="36B15804"/>
    <w:rsid w:val="36BD0613"/>
    <w:rsid w:val="36C117CA"/>
    <w:rsid w:val="36C24173"/>
    <w:rsid w:val="36C47652"/>
    <w:rsid w:val="36C904B5"/>
    <w:rsid w:val="36CE0C3E"/>
    <w:rsid w:val="36D00D5A"/>
    <w:rsid w:val="36E67FDB"/>
    <w:rsid w:val="36EC0D1E"/>
    <w:rsid w:val="36EC2811"/>
    <w:rsid w:val="36F13EF1"/>
    <w:rsid w:val="36F4510C"/>
    <w:rsid w:val="36F72946"/>
    <w:rsid w:val="36F91FC5"/>
    <w:rsid w:val="37005405"/>
    <w:rsid w:val="370A5610"/>
    <w:rsid w:val="370E49AA"/>
    <w:rsid w:val="3715494F"/>
    <w:rsid w:val="37181804"/>
    <w:rsid w:val="371F15C9"/>
    <w:rsid w:val="37215089"/>
    <w:rsid w:val="372D76E5"/>
    <w:rsid w:val="372F5D28"/>
    <w:rsid w:val="37335AE2"/>
    <w:rsid w:val="374106B7"/>
    <w:rsid w:val="37494035"/>
    <w:rsid w:val="374D6BA3"/>
    <w:rsid w:val="375F56FE"/>
    <w:rsid w:val="37654F88"/>
    <w:rsid w:val="37675CE5"/>
    <w:rsid w:val="376F4E86"/>
    <w:rsid w:val="378E263A"/>
    <w:rsid w:val="378F7E82"/>
    <w:rsid w:val="37910CC6"/>
    <w:rsid w:val="37974313"/>
    <w:rsid w:val="37A50D58"/>
    <w:rsid w:val="37A84E13"/>
    <w:rsid w:val="37BC7885"/>
    <w:rsid w:val="37C15E47"/>
    <w:rsid w:val="37CF7D44"/>
    <w:rsid w:val="37F52845"/>
    <w:rsid w:val="37F64AF5"/>
    <w:rsid w:val="37FC2678"/>
    <w:rsid w:val="38153AD8"/>
    <w:rsid w:val="38222F62"/>
    <w:rsid w:val="38235F70"/>
    <w:rsid w:val="38304E13"/>
    <w:rsid w:val="383252C1"/>
    <w:rsid w:val="384D7FEA"/>
    <w:rsid w:val="385861CA"/>
    <w:rsid w:val="387F0992"/>
    <w:rsid w:val="38820824"/>
    <w:rsid w:val="388A1731"/>
    <w:rsid w:val="389806F5"/>
    <w:rsid w:val="38A709EE"/>
    <w:rsid w:val="38B72DF7"/>
    <w:rsid w:val="38B73E51"/>
    <w:rsid w:val="38C644A7"/>
    <w:rsid w:val="38C85DAF"/>
    <w:rsid w:val="38CE2048"/>
    <w:rsid w:val="38F4590A"/>
    <w:rsid w:val="38F671C2"/>
    <w:rsid w:val="38F92413"/>
    <w:rsid w:val="390C5071"/>
    <w:rsid w:val="3913116B"/>
    <w:rsid w:val="391D4354"/>
    <w:rsid w:val="39216E79"/>
    <w:rsid w:val="392327CE"/>
    <w:rsid w:val="392B274A"/>
    <w:rsid w:val="392D63D3"/>
    <w:rsid w:val="392F4087"/>
    <w:rsid w:val="3938118D"/>
    <w:rsid w:val="393F076E"/>
    <w:rsid w:val="394E61CB"/>
    <w:rsid w:val="39505AC2"/>
    <w:rsid w:val="3962445C"/>
    <w:rsid w:val="39754534"/>
    <w:rsid w:val="397F4B08"/>
    <w:rsid w:val="398366D3"/>
    <w:rsid w:val="39864609"/>
    <w:rsid w:val="39881476"/>
    <w:rsid w:val="39902D77"/>
    <w:rsid w:val="399F46BE"/>
    <w:rsid w:val="39AE4E7F"/>
    <w:rsid w:val="39AE5BC0"/>
    <w:rsid w:val="39B622D0"/>
    <w:rsid w:val="39C11183"/>
    <w:rsid w:val="39CB57B4"/>
    <w:rsid w:val="39D070E9"/>
    <w:rsid w:val="39DD2461"/>
    <w:rsid w:val="39DE64CC"/>
    <w:rsid w:val="39DE68DF"/>
    <w:rsid w:val="39E6508D"/>
    <w:rsid w:val="39EB4050"/>
    <w:rsid w:val="39EB5851"/>
    <w:rsid w:val="39F4589E"/>
    <w:rsid w:val="39FF3A59"/>
    <w:rsid w:val="3A062648"/>
    <w:rsid w:val="3A0D5606"/>
    <w:rsid w:val="3A1F176C"/>
    <w:rsid w:val="3A284819"/>
    <w:rsid w:val="3A416ED2"/>
    <w:rsid w:val="3A59760D"/>
    <w:rsid w:val="3A5C1BAC"/>
    <w:rsid w:val="3A60626A"/>
    <w:rsid w:val="3A69631B"/>
    <w:rsid w:val="3A6C4951"/>
    <w:rsid w:val="3A74311E"/>
    <w:rsid w:val="3A8C1E05"/>
    <w:rsid w:val="3ACB5733"/>
    <w:rsid w:val="3AEA4709"/>
    <w:rsid w:val="3AF40EAF"/>
    <w:rsid w:val="3B081A71"/>
    <w:rsid w:val="3B0F72CE"/>
    <w:rsid w:val="3B1B60DB"/>
    <w:rsid w:val="3B2566FA"/>
    <w:rsid w:val="3B2F712A"/>
    <w:rsid w:val="3B345AAB"/>
    <w:rsid w:val="3B3E0A5D"/>
    <w:rsid w:val="3B417A68"/>
    <w:rsid w:val="3B4877CF"/>
    <w:rsid w:val="3B4A7D03"/>
    <w:rsid w:val="3B4B164C"/>
    <w:rsid w:val="3B4C1284"/>
    <w:rsid w:val="3B4F157F"/>
    <w:rsid w:val="3B53251D"/>
    <w:rsid w:val="3B566CE4"/>
    <w:rsid w:val="3B6852F6"/>
    <w:rsid w:val="3B6E50FF"/>
    <w:rsid w:val="3B7010B2"/>
    <w:rsid w:val="3B816B31"/>
    <w:rsid w:val="3B910789"/>
    <w:rsid w:val="3B934DA1"/>
    <w:rsid w:val="3B9434AF"/>
    <w:rsid w:val="3BC33B1E"/>
    <w:rsid w:val="3BE455FD"/>
    <w:rsid w:val="3BE644F7"/>
    <w:rsid w:val="3BEB16AD"/>
    <w:rsid w:val="3BFA6D3A"/>
    <w:rsid w:val="3BFF41E4"/>
    <w:rsid w:val="3C0A592A"/>
    <w:rsid w:val="3C127390"/>
    <w:rsid w:val="3C221C81"/>
    <w:rsid w:val="3C2A0D9F"/>
    <w:rsid w:val="3C432323"/>
    <w:rsid w:val="3C4C7F33"/>
    <w:rsid w:val="3C681222"/>
    <w:rsid w:val="3C821CD3"/>
    <w:rsid w:val="3C9C1A33"/>
    <w:rsid w:val="3CA41744"/>
    <w:rsid w:val="3CAB7EC8"/>
    <w:rsid w:val="3CAC749C"/>
    <w:rsid w:val="3CAE1501"/>
    <w:rsid w:val="3CB25C19"/>
    <w:rsid w:val="3CBF7EB3"/>
    <w:rsid w:val="3CC8269A"/>
    <w:rsid w:val="3CCA65A0"/>
    <w:rsid w:val="3CCD65FE"/>
    <w:rsid w:val="3CCF0666"/>
    <w:rsid w:val="3CD81B6A"/>
    <w:rsid w:val="3CE219B8"/>
    <w:rsid w:val="3CE505AF"/>
    <w:rsid w:val="3CE72485"/>
    <w:rsid w:val="3CE90EB4"/>
    <w:rsid w:val="3CEA6C43"/>
    <w:rsid w:val="3CED6733"/>
    <w:rsid w:val="3CEE4898"/>
    <w:rsid w:val="3CF13E86"/>
    <w:rsid w:val="3CF770E1"/>
    <w:rsid w:val="3CFB69A6"/>
    <w:rsid w:val="3D0906D0"/>
    <w:rsid w:val="3D0958EF"/>
    <w:rsid w:val="3D0A2E41"/>
    <w:rsid w:val="3D0E2B02"/>
    <w:rsid w:val="3D1E1295"/>
    <w:rsid w:val="3D236758"/>
    <w:rsid w:val="3D331D31"/>
    <w:rsid w:val="3D4273C4"/>
    <w:rsid w:val="3D44025E"/>
    <w:rsid w:val="3D4533A3"/>
    <w:rsid w:val="3D5A3963"/>
    <w:rsid w:val="3D5E05C0"/>
    <w:rsid w:val="3D6551A4"/>
    <w:rsid w:val="3D7D428C"/>
    <w:rsid w:val="3D843783"/>
    <w:rsid w:val="3D8D0218"/>
    <w:rsid w:val="3D9B7F3D"/>
    <w:rsid w:val="3DA20CB6"/>
    <w:rsid w:val="3DA212CB"/>
    <w:rsid w:val="3DAB5897"/>
    <w:rsid w:val="3DAD2B58"/>
    <w:rsid w:val="3DB465D0"/>
    <w:rsid w:val="3DC41796"/>
    <w:rsid w:val="3DCD5FC9"/>
    <w:rsid w:val="3DE5227C"/>
    <w:rsid w:val="3DE77EC2"/>
    <w:rsid w:val="3DED337E"/>
    <w:rsid w:val="3DEE0A2C"/>
    <w:rsid w:val="3DFE1172"/>
    <w:rsid w:val="3E016BF0"/>
    <w:rsid w:val="3E0A0982"/>
    <w:rsid w:val="3E0E1C40"/>
    <w:rsid w:val="3E114BAB"/>
    <w:rsid w:val="3E1267A1"/>
    <w:rsid w:val="3E200140"/>
    <w:rsid w:val="3E300AD3"/>
    <w:rsid w:val="3E337AC5"/>
    <w:rsid w:val="3E353EED"/>
    <w:rsid w:val="3E392972"/>
    <w:rsid w:val="3E424750"/>
    <w:rsid w:val="3E4610AC"/>
    <w:rsid w:val="3E5117AC"/>
    <w:rsid w:val="3E5C6787"/>
    <w:rsid w:val="3E70649F"/>
    <w:rsid w:val="3E74259F"/>
    <w:rsid w:val="3E744864"/>
    <w:rsid w:val="3E752FEE"/>
    <w:rsid w:val="3E78466F"/>
    <w:rsid w:val="3E7F47A2"/>
    <w:rsid w:val="3E9335BB"/>
    <w:rsid w:val="3E9728EC"/>
    <w:rsid w:val="3E9744DA"/>
    <w:rsid w:val="3E9C475A"/>
    <w:rsid w:val="3EA36DA2"/>
    <w:rsid w:val="3EB06664"/>
    <w:rsid w:val="3EBC0AE0"/>
    <w:rsid w:val="3EBC702C"/>
    <w:rsid w:val="3EC4017B"/>
    <w:rsid w:val="3ECA6A47"/>
    <w:rsid w:val="3EDA34FF"/>
    <w:rsid w:val="3EE341B6"/>
    <w:rsid w:val="3EE86108"/>
    <w:rsid w:val="3EEA6702"/>
    <w:rsid w:val="3EF73899"/>
    <w:rsid w:val="3F06701C"/>
    <w:rsid w:val="3F1006DB"/>
    <w:rsid w:val="3F12297B"/>
    <w:rsid w:val="3F167184"/>
    <w:rsid w:val="3F1735F3"/>
    <w:rsid w:val="3F1A7E55"/>
    <w:rsid w:val="3F1B5A0A"/>
    <w:rsid w:val="3F204B9E"/>
    <w:rsid w:val="3F282217"/>
    <w:rsid w:val="3F2A67D7"/>
    <w:rsid w:val="3F4404BD"/>
    <w:rsid w:val="3F4C3D76"/>
    <w:rsid w:val="3F4D16E6"/>
    <w:rsid w:val="3F4F0EC3"/>
    <w:rsid w:val="3F5648CC"/>
    <w:rsid w:val="3F5B7A4B"/>
    <w:rsid w:val="3F5E3A27"/>
    <w:rsid w:val="3F5F2902"/>
    <w:rsid w:val="3F615AFE"/>
    <w:rsid w:val="3F6459E6"/>
    <w:rsid w:val="3F7174B0"/>
    <w:rsid w:val="3F721802"/>
    <w:rsid w:val="3F7C238F"/>
    <w:rsid w:val="3F8275A7"/>
    <w:rsid w:val="3F85593D"/>
    <w:rsid w:val="3F9317EA"/>
    <w:rsid w:val="3F9D22CF"/>
    <w:rsid w:val="3FAA6838"/>
    <w:rsid w:val="3FC4377B"/>
    <w:rsid w:val="3FC50744"/>
    <w:rsid w:val="3FCA26DD"/>
    <w:rsid w:val="3FD80FD4"/>
    <w:rsid w:val="3FF036CE"/>
    <w:rsid w:val="3FF06655"/>
    <w:rsid w:val="3FF51B86"/>
    <w:rsid w:val="4000052B"/>
    <w:rsid w:val="40084DA7"/>
    <w:rsid w:val="40090B8E"/>
    <w:rsid w:val="400A39E4"/>
    <w:rsid w:val="400D2571"/>
    <w:rsid w:val="40196F34"/>
    <w:rsid w:val="401B1B5E"/>
    <w:rsid w:val="401D2804"/>
    <w:rsid w:val="402E32EA"/>
    <w:rsid w:val="40420A0D"/>
    <w:rsid w:val="40503261"/>
    <w:rsid w:val="40570AE2"/>
    <w:rsid w:val="405B5EF2"/>
    <w:rsid w:val="405D3337"/>
    <w:rsid w:val="4066501E"/>
    <w:rsid w:val="406B3335"/>
    <w:rsid w:val="406E36E7"/>
    <w:rsid w:val="406F1C68"/>
    <w:rsid w:val="407329E4"/>
    <w:rsid w:val="40801DC5"/>
    <w:rsid w:val="40826F9E"/>
    <w:rsid w:val="40844EC0"/>
    <w:rsid w:val="4086025B"/>
    <w:rsid w:val="40880D78"/>
    <w:rsid w:val="408A55A8"/>
    <w:rsid w:val="40942E4E"/>
    <w:rsid w:val="409749EB"/>
    <w:rsid w:val="40AF2926"/>
    <w:rsid w:val="40B05102"/>
    <w:rsid w:val="40B14B10"/>
    <w:rsid w:val="40BE5D0C"/>
    <w:rsid w:val="40C70F5A"/>
    <w:rsid w:val="40D37419"/>
    <w:rsid w:val="40DA7ECD"/>
    <w:rsid w:val="40DC34B7"/>
    <w:rsid w:val="40DF7353"/>
    <w:rsid w:val="40EC000C"/>
    <w:rsid w:val="40EC543D"/>
    <w:rsid w:val="40F57964"/>
    <w:rsid w:val="410B4A24"/>
    <w:rsid w:val="4124393F"/>
    <w:rsid w:val="41313C50"/>
    <w:rsid w:val="41430135"/>
    <w:rsid w:val="41452699"/>
    <w:rsid w:val="4155493C"/>
    <w:rsid w:val="417322CC"/>
    <w:rsid w:val="417C1E33"/>
    <w:rsid w:val="418E1D88"/>
    <w:rsid w:val="41953C04"/>
    <w:rsid w:val="419864C3"/>
    <w:rsid w:val="41A62D03"/>
    <w:rsid w:val="41AE1830"/>
    <w:rsid w:val="41C0228F"/>
    <w:rsid w:val="41C14003"/>
    <w:rsid w:val="41C9096F"/>
    <w:rsid w:val="41CA4380"/>
    <w:rsid w:val="41CB0956"/>
    <w:rsid w:val="41D86512"/>
    <w:rsid w:val="41D87379"/>
    <w:rsid w:val="41E35ABC"/>
    <w:rsid w:val="41E520D3"/>
    <w:rsid w:val="41E649D0"/>
    <w:rsid w:val="41EB7464"/>
    <w:rsid w:val="41F2318B"/>
    <w:rsid w:val="42172A99"/>
    <w:rsid w:val="422F3ECC"/>
    <w:rsid w:val="423D50D1"/>
    <w:rsid w:val="423E6B8A"/>
    <w:rsid w:val="424007C7"/>
    <w:rsid w:val="424636FE"/>
    <w:rsid w:val="42477501"/>
    <w:rsid w:val="424C4E9D"/>
    <w:rsid w:val="425242EA"/>
    <w:rsid w:val="426F1683"/>
    <w:rsid w:val="42706705"/>
    <w:rsid w:val="429374B9"/>
    <w:rsid w:val="42A15C59"/>
    <w:rsid w:val="42A90F3F"/>
    <w:rsid w:val="42CC735E"/>
    <w:rsid w:val="42CF24CB"/>
    <w:rsid w:val="42D51B10"/>
    <w:rsid w:val="42EF61FF"/>
    <w:rsid w:val="42F120BE"/>
    <w:rsid w:val="42F37E9E"/>
    <w:rsid w:val="42F44377"/>
    <w:rsid w:val="42F5548C"/>
    <w:rsid w:val="42F56341"/>
    <w:rsid w:val="42FE460C"/>
    <w:rsid w:val="430601B1"/>
    <w:rsid w:val="43097C52"/>
    <w:rsid w:val="431467C7"/>
    <w:rsid w:val="43195B8C"/>
    <w:rsid w:val="431B1C8F"/>
    <w:rsid w:val="432307B8"/>
    <w:rsid w:val="43266E38"/>
    <w:rsid w:val="433F5744"/>
    <w:rsid w:val="434234FA"/>
    <w:rsid w:val="434A13EE"/>
    <w:rsid w:val="434D4336"/>
    <w:rsid w:val="43572F92"/>
    <w:rsid w:val="435B045B"/>
    <w:rsid w:val="436112E1"/>
    <w:rsid w:val="43660DBD"/>
    <w:rsid w:val="436A193A"/>
    <w:rsid w:val="43832E5A"/>
    <w:rsid w:val="43947B2E"/>
    <w:rsid w:val="439875C0"/>
    <w:rsid w:val="439926D3"/>
    <w:rsid w:val="43A35DF9"/>
    <w:rsid w:val="43A46235"/>
    <w:rsid w:val="43A56D67"/>
    <w:rsid w:val="43AA46B5"/>
    <w:rsid w:val="43B458B4"/>
    <w:rsid w:val="43C3165A"/>
    <w:rsid w:val="43CA2851"/>
    <w:rsid w:val="43D22853"/>
    <w:rsid w:val="43D9446E"/>
    <w:rsid w:val="43DE1C7E"/>
    <w:rsid w:val="43E02066"/>
    <w:rsid w:val="43E4411D"/>
    <w:rsid w:val="43EA7DE0"/>
    <w:rsid w:val="44014CFB"/>
    <w:rsid w:val="44135796"/>
    <w:rsid w:val="44180A5F"/>
    <w:rsid w:val="441A0C1B"/>
    <w:rsid w:val="441B330B"/>
    <w:rsid w:val="44273AF0"/>
    <w:rsid w:val="442E5667"/>
    <w:rsid w:val="443851F9"/>
    <w:rsid w:val="443B3874"/>
    <w:rsid w:val="443B5A10"/>
    <w:rsid w:val="443C404D"/>
    <w:rsid w:val="443D77D7"/>
    <w:rsid w:val="44435F8B"/>
    <w:rsid w:val="44533B09"/>
    <w:rsid w:val="445A2900"/>
    <w:rsid w:val="445A7CE8"/>
    <w:rsid w:val="445C4EDE"/>
    <w:rsid w:val="4464273F"/>
    <w:rsid w:val="446D1A0C"/>
    <w:rsid w:val="44756293"/>
    <w:rsid w:val="448D2381"/>
    <w:rsid w:val="448E2E10"/>
    <w:rsid w:val="448E723D"/>
    <w:rsid w:val="44933F74"/>
    <w:rsid w:val="44940020"/>
    <w:rsid w:val="449905B8"/>
    <w:rsid w:val="449A0F4E"/>
    <w:rsid w:val="44A83764"/>
    <w:rsid w:val="44AE577E"/>
    <w:rsid w:val="44CA72EB"/>
    <w:rsid w:val="44D51F86"/>
    <w:rsid w:val="44E53CB8"/>
    <w:rsid w:val="44EE60F3"/>
    <w:rsid w:val="44F63AE0"/>
    <w:rsid w:val="450C4F62"/>
    <w:rsid w:val="45212A8B"/>
    <w:rsid w:val="452A0524"/>
    <w:rsid w:val="452B74FC"/>
    <w:rsid w:val="45334C4D"/>
    <w:rsid w:val="453429B9"/>
    <w:rsid w:val="453A11DD"/>
    <w:rsid w:val="453B6F2D"/>
    <w:rsid w:val="453E18DA"/>
    <w:rsid w:val="454E0D58"/>
    <w:rsid w:val="4551194E"/>
    <w:rsid w:val="45594965"/>
    <w:rsid w:val="455E47F1"/>
    <w:rsid w:val="45605CF4"/>
    <w:rsid w:val="456060AA"/>
    <w:rsid w:val="456C1406"/>
    <w:rsid w:val="456E75A5"/>
    <w:rsid w:val="456F4189"/>
    <w:rsid w:val="457908D6"/>
    <w:rsid w:val="457D6D04"/>
    <w:rsid w:val="457E57DD"/>
    <w:rsid w:val="458634EA"/>
    <w:rsid w:val="458B0897"/>
    <w:rsid w:val="458B5F46"/>
    <w:rsid w:val="45963D33"/>
    <w:rsid w:val="459C4888"/>
    <w:rsid w:val="45B81E60"/>
    <w:rsid w:val="45C2730A"/>
    <w:rsid w:val="45C30AA3"/>
    <w:rsid w:val="45C7704C"/>
    <w:rsid w:val="45CF2C69"/>
    <w:rsid w:val="45D12C21"/>
    <w:rsid w:val="45DB3B6F"/>
    <w:rsid w:val="45E41D14"/>
    <w:rsid w:val="45E910E1"/>
    <w:rsid w:val="45EB47A3"/>
    <w:rsid w:val="45F91D12"/>
    <w:rsid w:val="45FF0D4F"/>
    <w:rsid w:val="460074D7"/>
    <w:rsid w:val="460F0BBC"/>
    <w:rsid w:val="4627138C"/>
    <w:rsid w:val="46312007"/>
    <w:rsid w:val="463C3CB8"/>
    <w:rsid w:val="46497BAC"/>
    <w:rsid w:val="46687358"/>
    <w:rsid w:val="46725BCE"/>
    <w:rsid w:val="467B7BF4"/>
    <w:rsid w:val="467E3B9D"/>
    <w:rsid w:val="468C2B19"/>
    <w:rsid w:val="468C347D"/>
    <w:rsid w:val="468D3034"/>
    <w:rsid w:val="468F2D28"/>
    <w:rsid w:val="46921B15"/>
    <w:rsid w:val="46AB3CF3"/>
    <w:rsid w:val="46C30770"/>
    <w:rsid w:val="46C704E7"/>
    <w:rsid w:val="46CF70F3"/>
    <w:rsid w:val="46D01AE7"/>
    <w:rsid w:val="46D06D1B"/>
    <w:rsid w:val="46D70238"/>
    <w:rsid w:val="46E94558"/>
    <w:rsid w:val="46EA1664"/>
    <w:rsid w:val="46F563E4"/>
    <w:rsid w:val="471C20EE"/>
    <w:rsid w:val="471E680C"/>
    <w:rsid w:val="47263A4B"/>
    <w:rsid w:val="472965B9"/>
    <w:rsid w:val="4736268C"/>
    <w:rsid w:val="473C470F"/>
    <w:rsid w:val="47406DA1"/>
    <w:rsid w:val="474A4BC8"/>
    <w:rsid w:val="47574ED5"/>
    <w:rsid w:val="475F56B3"/>
    <w:rsid w:val="47630C56"/>
    <w:rsid w:val="47655E8C"/>
    <w:rsid w:val="4767145E"/>
    <w:rsid w:val="47747677"/>
    <w:rsid w:val="47753672"/>
    <w:rsid w:val="477616BF"/>
    <w:rsid w:val="47922A24"/>
    <w:rsid w:val="47947ED7"/>
    <w:rsid w:val="4798090A"/>
    <w:rsid w:val="47987786"/>
    <w:rsid w:val="47AA594C"/>
    <w:rsid w:val="47AC6FDA"/>
    <w:rsid w:val="47B24801"/>
    <w:rsid w:val="47B4400A"/>
    <w:rsid w:val="47C15B9F"/>
    <w:rsid w:val="47D53EAF"/>
    <w:rsid w:val="47DD2E02"/>
    <w:rsid w:val="47E34FCD"/>
    <w:rsid w:val="47F21F2D"/>
    <w:rsid w:val="47FE4E2C"/>
    <w:rsid w:val="48072584"/>
    <w:rsid w:val="48164D90"/>
    <w:rsid w:val="48194880"/>
    <w:rsid w:val="48312561"/>
    <w:rsid w:val="48495531"/>
    <w:rsid w:val="486661DE"/>
    <w:rsid w:val="48671147"/>
    <w:rsid w:val="48693111"/>
    <w:rsid w:val="486A1DCD"/>
    <w:rsid w:val="486A5A4F"/>
    <w:rsid w:val="4872500F"/>
    <w:rsid w:val="4875155F"/>
    <w:rsid w:val="4878300A"/>
    <w:rsid w:val="487B0E3D"/>
    <w:rsid w:val="488542A2"/>
    <w:rsid w:val="48894D7A"/>
    <w:rsid w:val="48AA712A"/>
    <w:rsid w:val="48AF5D2A"/>
    <w:rsid w:val="48B67698"/>
    <w:rsid w:val="48BA396D"/>
    <w:rsid w:val="48BD09D7"/>
    <w:rsid w:val="48BE3BC7"/>
    <w:rsid w:val="48C77F99"/>
    <w:rsid w:val="48D16F09"/>
    <w:rsid w:val="48D827DD"/>
    <w:rsid w:val="48DE2FB1"/>
    <w:rsid w:val="48DF3154"/>
    <w:rsid w:val="48EB6CD4"/>
    <w:rsid w:val="48EE2F0B"/>
    <w:rsid w:val="48F63CA3"/>
    <w:rsid w:val="49093A36"/>
    <w:rsid w:val="49096DDC"/>
    <w:rsid w:val="49165410"/>
    <w:rsid w:val="491D04DC"/>
    <w:rsid w:val="493641C0"/>
    <w:rsid w:val="49366D6C"/>
    <w:rsid w:val="493F050A"/>
    <w:rsid w:val="49441701"/>
    <w:rsid w:val="49482C33"/>
    <w:rsid w:val="494B1727"/>
    <w:rsid w:val="495C67D2"/>
    <w:rsid w:val="495D254A"/>
    <w:rsid w:val="49684160"/>
    <w:rsid w:val="496A410F"/>
    <w:rsid w:val="496C5704"/>
    <w:rsid w:val="496C6828"/>
    <w:rsid w:val="496F04CE"/>
    <w:rsid w:val="497A30FC"/>
    <w:rsid w:val="497F684D"/>
    <w:rsid w:val="49845D29"/>
    <w:rsid w:val="49896F8C"/>
    <w:rsid w:val="498A6E51"/>
    <w:rsid w:val="49946DC4"/>
    <w:rsid w:val="49A00B3F"/>
    <w:rsid w:val="49AB06C8"/>
    <w:rsid w:val="49AF3BBF"/>
    <w:rsid w:val="49BC1967"/>
    <w:rsid w:val="49BF6D61"/>
    <w:rsid w:val="49C0071F"/>
    <w:rsid w:val="49C01457"/>
    <w:rsid w:val="49C87424"/>
    <w:rsid w:val="49CA4E78"/>
    <w:rsid w:val="49CB55A4"/>
    <w:rsid w:val="49E07403"/>
    <w:rsid w:val="49E407AB"/>
    <w:rsid w:val="49F509D5"/>
    <w:rsid w:val="49F779D1"/>
    <w:rsid w:val="49FE17A9"/>
    <w:rsid w:val="49FE77D3"/>
    <w:rsid w:val="4A096E32"/>
    <w:rsid w:val="4A204457"/>
    <w:rsid w:val="4A365275"/>
    <w:rsid w:val="4A39732F"/>
    <w:rsid w:val="4A3E05CE"/>
    <w:rsid w:val="4A42384A"/>
    <w:rsid w:val="4A4C18E3"/>
    <w:rsid w:val="4A552084"/>
    <w:rsid w:val="4A5B1BAA"/>
    <w:rsid w:val="4A606404"/>
    <w:rsid w:val="4A745318"/>
    <w:rsid w:val="4A7E6C1C"/>
    <w:rsid w:val="4A7F1F5E"/>
    <w:rsid w:val="4A885CE9"/>
    <w:rsid w:val="4A8A35A1"/>
    <w:rsid w:val="4A8D7331"/>
    <w:rsid w:val="4A9258DF"/>
    <w:rsid w:val="4A94660C"/>
    <w:rsid w:val="4AA9193A"/>
    <w:rsid w:val="4AB07A97"/>
    <w:rsid w:val="4AB756F3"/>
    <w:rsid w:val="4ABE2647"/>
    <w:rsid w:val="4AC45BA9"/>
    <w:rsid w:val="4AD4362D"/>
    <w:rsid w:val="4AE80BFD"/>
    <w:rsid w:val="4AF168F9"/>
    <w:rsid w:val="4AF64F39"/>
    <w:rsid w:val="4B037629"/>
    <w:rsid w:val="4B0442C3"/>
    <w:rsid w:val="4B0610EB"/>
    <w:rsid w:val="4B0E512A"/>
    <w:rsid w:val="4B0F35B0"/>
    <w:rsid w:val="4B1D01E3"/>
    <w:rsid w:val="4B3914B4"/>
    <w:rsid w:val="4B3B6FA9"/>
    <w:rsid w:val="4B470643"/>
    <w:rsid w:val="4B482464"/>
    <w:rsid w:val="4B490C5C"/>
    <w:rsid w:val="4B493655"/>
    <w:rsid w:val="4B53314F"/>
    <w:rsid w:val="4B5A1437"/>
    <w:rsid w:val="4B6F2F85"/>
    <w:rsid w:val="4B701635"/>
    <w:rsid w:val="4B715C38"/>
    <w:rsid w:val="4B8538D4"/>
    <w:rsid w:val="4B882896"/>
    <w:rsid w:val="4B9510D8"/>
    <w:rsid w:val="4BA40904"/>
    <w:rsid w:val="4BA95F1B"/>
    <w:rsid w:val="4BB4256C"/>
    <w:rsid w:val="4BC2192A"/>
    <w:rsid w:val="4BC2321A"/>
    <w:rsid w:val="4BC367C1"/>
    <w:rsid w:val="4BCB5417"/>
    <w:rsid w:val="4BCC2A13"/>
    <w:rsid w:val="4BD76155"/>
    <w:rsid w:val="4BD96800"/>
    <w:rsid w:val="4BDD57B2"/>
    <w:rsid w:val="4BE46F11"/>
    <w:rsid w:val="4BE60CC7"/>
    <w:rsid w:val="4BEB03BD"/>
    <w:rsid w:val="4C0137F8"/>
    <w:rsid w:val="4C071319"/>
    <w:rsid w:val="4C072AE3"/>
    <w:rsid w:val="4C0F515C"/>
    <w:rsid w:val="4C14480A"/>
    <w:rsid w:val="4C214789"/>
    <w:rsid w:val="4C295139"/>
    <w:rsid w:val="4C2D05BF"/>
    <w:rsid w:val="4C4A325A"/>
    <w:rsid w:val="4C4C4D08"/>
    <w:rsid w:val="4C4D4AF8"/>
    <w:rsid w:val="4C52655F"/>
    <w:rsid w:val="4C58653E"/>
    <w:rsid w:val="4C59298C"/>
    <w:rsid w:val="4C6836E0"/>
    <w:rsid w:val="4C6E6FFC"/>
    <w:rsid w:val="4C77362C"/>
    <w:rsid w:val="4C872909"/>
    <w:rsid w:val="4CA26108"/>
    <w:rsid w:val="4CAE412C"/>
    <w:rsid w:val="4CBF498E"/>
    <w:rsid w:val="4CC84A9B"/>
    <w:rsid w:val="4CD1154E"/>
    <w:rsid w:val="4CD13F6E"/>
    <w:rsid w:val="4CD4774E"/>
    <w:rsid w:val="4CD6249A"/>
    <w:rsid w:val="4CDA1E90"/>
    <w:rsid w:val="4CF36C5F"/>
    <w:rsid w:val="4CF3744D"/>
    <w:rsid w:val="4CFF2296"/>
    <w:rsid w:val="4D0105E9"/>
    <w:rsid w:val="4D123086"/>
    <w:rsid w:val="4D19246F"/>
    <w:rsid w:val="4D31441A"/>
    <w:rsid w:val="4D385556"/>
    <w:rsid w:val="4D39679C"/>
    <w:rsid w:val="4D3C16EA"/>
    <w:rsid w:val="4D3E7FF5"/>
    <w:rsid w:val="4D4B1038"/>
    <w:rsid w:val="4D5D7F08"/>
    <w:rsid w:val="4D5E372E"/>
    <w:rsid w:val="4D5F4AE3"/>
    <w:rsid w:val="4D6046C3"/>
    <w:rsid w:val="4D673A2D"/>
    <w:rsid w:val="4D6E55A1"/>
    <w:rsid w:val="4D73233C"/>
    <w:rsid w:val="4D7B75CA"/>
    <w:rsid w:val="4D974EAA"/>
    <w:rsid w:val="4D9A3D6D"/>
    <w:rsid w:val="4D9D13E7"/>
    <w:rsid w:val="4DA619F7"/>
    <w:rsid w:val="4DA70238"/>
    <w:rsid w:val="4DAC6CCE"/>
    <w:rsid w:val="4DB21593"/>
    <w:rsid w:val="4DD0556D"/>
    <w:rsid w:val="4DD77C46"/>
    <w:rsid w:val="4DDC4386"/>
    <w:rsid w:val="4DDE110F"/>
    <w:rsid w:val="4DDE7F96"/>
    <w:rsid w:val="4DF863E6"/>
    <w:rsid w:val="4DFB01D4"/>
    <w:rsid w:val="4E003FBB"/>
    <w:rsid w:val="4E047438"/>
    <w:rsid w:val="4E0E2891"/>
    <w:rsid w:val="4E1A0DEA"/>
    <w:rsid w:val="4E1E292C"/>
    <w:rsid w:val="4E23403A"/>
    <w:rsid w:val="4E235B10"/>
    <w:rsid w:val="4E294836"/>
    <w:rsid w:val="4E2C6989"/>
    <w:rsid w:val="4E2E43E9"/>
    <w:rsid w:val="4E375A60"/>
    <w:rsid w:val="4E3C6BD2"/>
    <w:rsid w:val="4E4B7D53"/>
    <w:rsid w:val="4E541AB7"/>
    <w:rsid w:val="4E611273"/>
    <w:rsid w:val="4E64167E"/>
    <w:rsid w:val="4E7C65A6"/>
    <w:rsid w:val="4E800EC2"/>
    <w:rsid w:val="4E8A686D"/>
    <w:rsid w:val="4E926EB5"/>
    <w:rsid w:val="4E974666"/>
    <w:rsid w:val="4E9A627C"/>
    <w:rsid w:val="4EAA25F3"/>
    <w:rsid w:val="4EAB169B"/>
    <w:rsid w:val="4EB33338"/>
    <w:rsid w:val="4EBE561C"/>
    <w:rsid w:val="4EC32085"/>
    <w:rsid w:val="4EC76D10"/>
    <w:rsid w:val="4ED427D9"/>
    <w:rsid w:val="4EED611E"/>
    <w:rsid w:val="4EF5098A"/>
    <w:rsid w:val="4EF870B5"/>
    <w:rsid w:val="4F1064E5"/>
    <w:rsid w:val="4F1C04FD"/>
    <w:rsid w:val="4F255B67"/>
    <w:rsid w:val="4F26400E"/>
    <w:rsid w:val="4F286530"/>
    <w:rsid w:val="4F3775E0"/>
    <w:rsid w:val="4F461E57"/>
    <w:rsid w:val="4F52203E"/>
    <w:rsid w:val="4F5C6193"/>
    <w:rsid w:val="4F5E0189"/>
    <w:rsid w:val="4F6826DC"/>
    <w:rsid w:val="4F74574B"/>
    <w:rsid w:val="4F814B44"/>
    <w:rsid w:val="4F837799"/>
    <w:rsid w:val="4F95136A"/>
    <w:rsid w:val="4FA54F39"/>
    <w:rsid w:val="4FAB04E2"/>
    <w:rsid w:val="4FB8672C"/>
    <w:rsid w:val="4FB91FD8"/>
    <w:rsid w:val="4FBB6EB0"/>
    <w:rsid w:val="4FBD1F95"/>
    <w:rsid w:val="4FCA3BF2"/>
    <w:rsid w:val="4FD83B8B"/>
    <w:rsid w:val="4FD953DD"/>
    <w:rsid w:val="4FE72267"/>
    <w:rsid w:val="4FFD193D"/>
    <w:rsid w:val="4FFF435B"/>
    <w:rsid w:val="500879CF"/>
    <w:rsid w:val="500E10AF"/>
    <w:rsid w:val="50176C0F"/>
    <w:rsid w:val="501C5797"/>
    <w:rsid w:val="502046A4"/>
    <w:rsid w:val="502823B9"/>
    <w:rsid w:val="50291D40"/>
    <w:rsid w:val="50311825"/>
    <w:rsid w:val="50354221"/>
    <w:rsid w:val="50465417"/>
    <w:rsid w:val="50465CA9"/>
    <w:rsid w:val="504B5E71"/>
    <w:rsid w:val="50504B33"/>
    <w:rsid w:val="505A3BDE"/>
    <w:rsid w:val="505F3754"/>
    <w:rsid w:val="5085014F"/>
    <w:rsid w:val="50917B30"/>
    <w:rsid w:val="50943E0D"/>
    <w:rsid w:val="5097143B"/>
    <w:rsid w:val="50A20D17"/>
    <w:rsid w:val="50A415C4"/>
    <w:rsid w:val="50A44FA4"/>
    <w:rsid w:val="50A4605D"/>
    <w:rsid w:val="50AC6E78"/>
    <w:rsid w:val="50B43398"/>
    <w:rsid w:val="50B4496F"/>
    <w:rsid w:val="50B565E8"/>
    <w:rsid w:val="50C86E43"/>
    <w:rsid w:val="50CA42C2"/>
    <w:rsid w:val="50E008BD"/>
    <w:rsid w:val="50E961B4"/>
    <w:rsid w:val="50EC2AF4"/>
    <w:rsid w:val="51034031"/>
    <w:rsid w:val="51041210"/>
    <w:rsid w:val="510709C1"/>
    <w:rsid w:val="512578B9"/>
    <w:rsid w:val="514A5AAA"/>
    <w:rsid w:val="515417A6"/>
    <w:rsid w:val="515F411E"/>
    <w:rsid w:val="51642F65"/>
    <w:rsid w:val="51661AFD"/>
    <w:rsid w:val="517F4786"/>
    <w:rsid w:val="51804839"/>
    <w:rsid w:val="51822D96"/>
    <w:rsid w:val="51857924"/>
    <w:rsid w:val="51896518"/>
    <w:rsid w:val="51903C9C"/>
    <w:rsid w:val="51905BB3"/>
    <w:rsid w:val="51A517AE"/>
    <w:rsid w:val="51A553DD"/>
    <w:rsid w:val="51B2378D"/>
    <w:rsid w:val="51BC69A8"/>
    <w:rsid w:val="51C20C58"/>
    <w:rsid w:val="51CA623A"/>
    <w:rsid w:val="51ED095D"/>
    <w:rsid w:val="51FC2388"/>
    <w:rsid w:val="52045C59"/>
    <w:rsid w:val="520774F7"/>
    <w:rsid w:val="520A74A5"/>
    <w:rsid w:val="52163DC5"/>
    <w:rsid w:val="52270036"/>
    <w:rsid w:val="522E3391"/>
    <w:rsid w:val="525F3049"/>
    <w:rsid w:val="5269647B"/>
    <w:rsid w:val="52705982"/>
    <w:rsid w:val="5272221A"/>
    <w:rsid w:val="52891B7D"/>
    <w:rsid w:val="529450F0"/>
    <w:rsid w:val="529B4336"/>
    <w:rsid w:val="529F02C0"/>
    <w:rsid w:val="52A1792A"/>
    <w:rsid w:val="52AC4E28"/>
    <w:rsid w:val="52B256B5"/>
    <w:rsid w:val="52B91055"/>
    <w:rsid w:val="52C36427"/>
    <w:rsid w:val="52C84ED8"/>
    <w:rsid w:val="52D25E2B"/>
    <w:rsid w:val="52D41ACF"/>
    <w:rsid w:val="52DB5D80"/>
    <w:rsid w:val="52DD2414"/>
    <w:rsid w:val="52E302E8"/>
    <w:rsid w:val="52E52B92"/>
    <w:rsid w:val="52E937A5"/>
    <w:rsid w:val="52ED493F"/>
    <w:rsid w:val="52F56E59"/>
    <w:rsid w:val="52F60BB9"/>
    <w:rsid w:val="53000E29"/>
    <w:rsid w:val="53114F36"/>
    <w:rsid w:val="53134F03"/>
    <w:rsid w:val="53187214"/>
    <w:rsid w:val="5325585C"/>
    <w:rsid w:val="53313159"/>
    <w:rsid w:val="533B1B4E"/>
    <w:rsid w:val="533E5DF5"/>
    <w:rsid w:val="53443438"/>
    <w:rsid w:val="53480197"/>
    <w:rsid w:val="53543B01"/>
    <w:rsid w:val="53574B86"/>
    <w:rsid w:val="535B4415"/>
    <w:rsid w:val="535D337D"/>
    <w:rsid w:val="53603D67"/>
    <w:rsid w:val="53646BE9"/>
    <w:rsid w:val="53852DC9"/>
    <w:rsid w:val="53861BE4"/>
    <w:rsid w:val="53AC4743"/>
    <w:rsid w:val="53AE3C0D"/>
    <w:rsid w:val="53D24B98"/>
    <w:rsid w:val="53DF247D"/>
    <w:rsid w:val="53E701A0"/>
    <w:rsid w:val="53EA2132"/>
    <w:rsid w:val="53EE096F"/>
    <w:rsid w:val="53F57FB6"/>
    <w:rsid w:val="53F95FC5"/>
    <w:rsid w:val="54102FDB"/>
    <w:rsid w:val="5412588F"/>
    <w:rsid w:val="54134430"/>
    <w:rsid w:val="541A05B0"/>
    <w:rsid w:val="541C0A31"/>
    <w:rsid w:val="541C62AC"/>
    <w:rsid w:val="5420592D"/>
    <w:rsid w:val="5444625D"/>
    <w:rsid w:val="54462559"/>
    <w:rsid w:val="544809EA"/>
    <w:rsid w:val="544834D0"/>
    <w:rsid w:val="544942E0"/>
    <w:rsid w:val="54532EC8"/>
    <w:rsid w:val="54546791"/>
    <w:rsid w:val="545F1F94"/>
    <w:rsid w:val="546026E6"/>
    <w:rsid w:val="546046C0"/>
    <w:rsid w:val="546970A9"/>
    <w:rsid w:val="54820D9F"/>
    <w:rsid w:val="54840398"/>
    <w:rsid w:val="54844A42"/>
    <w:rsid w:val="548557F2"/>
    <w:rsid w:val="549341D5"/>
    <w:rsid w:val="549A0AF6"/>
    <w:rsid w:val="549C03CB"/>
    <w:rsid w:val="54A1544A"/>
    <w:rsid w:val="54AC58BB"/>
    <w:rsid w:val="54C60354"/>
    <w:rsid w:val="54D2531E"/>
    <w:rsid w:val="54EC4E0C"/>
    <w:rsid w:val="54EE59D1"/>
    <w:rsid w:val="54EF7507"/>
    <w:rsid w:val="54FC7481"/>
    <w:rsid w:val="55076685"/>
    <w:rsid w:val="551560C4"/>
    <w:rsid w:val="55156FE6"/>
    <w:rsid w:val="551F623A"/>
    <w:rsid w:val="55201F0A"/>
    <w:rsid w:val="552C6161"/>
    <w:rsid w:val="553C4AA2"/>
    <w:rsid w:val="55425416"/>
    <w:rsid w:val="554D40AF"/>
    <w:rsid w:val="554E699B"/>
    <w:rsid w:val="554F0586"/>
    <w:rsid w:val="555111B5"/>
    <w:rsid w:val="555B7B15"/>
    <w:rsid w:val="555F0D08"/>
    <w:rsid w:val="555F62BF"/>
    <w:rsid w:val="556119D6"/>
    <w:rsid w:val="556565EB"/>
    <w:rsid w:val="557355CF"/>
    <w:rsid w:val="55755817"/>
    <w:rsid w:val="557F54CC"/>
    <w:rsid w:val="55886BA1"/>
    <w:rsid w:val="558A0B6B"/>
    <w:rsid w:val="55983288"/>
    <w:rsid w:val="5599459B"/>
    <w:rsid w:val="55B47996"/>
    <w:rsid w:val="55BE0C47"/>
    <w:rsid w:val="55D122F6"/>
    <w:rsid w:val="55D25FE3"/>
    <w:rsid w:val="55D43B94"/>
    <w:rsid w:val="55DB3208"/>
    <w:rsid w:val="55EC7425"/>
    <w:rsid w:val="55EE7D60"/>
    <w:rsid w:val="56035375"/>
    <w:rsid w:val="56122EF8"/>
    <w:rsid w:val="56146717"/>
    <w:rsid w:val="561640AD"/>
    <w:rsid w:val="56173136"/>
    <w:rsid w:val="56251FCB"/>
    <w:rsid w:val="56267FBF"/>
    <w:rsid w:val="563343C8"/>
    <w:rsid w:val="56465DDB"/>
    <w:rsid w:val="567F1442"/>
    <w:rsid w:val="56820CC2"/>
    <w:rsid w:val="568C604D"/>
    <w:rsid w:val="569D64EB"/>
    <w:rsid w:val="569E36E5"/>
    <w:rsid w:val="56C8194B"/>
    <w:rsid w:val="56D4713A"/>
    <w:rsid w:val="56E66275"/>
    <w:rsid w:val="56F8634C"/>
    <w:rsid w:val="56FF47FD"/>
    <w:rsid w:val="570022BB"/>
    <w:rsid w:val="570045FE"/>
    <w:rsid w:val="57006263"/>
    <w:rsid w:val="57032983"/>
    <w:rsid w:val="57051323"/>
    <w:rsid w:val="570F190A"/>
    <w:rsid w:val="5712319A"/>
    <w:rsid w:val="571B3AA1"/>
    <w:rsid w:val="572715EE"/>
    <w:rsid w:val="572A4A6B"/>
    <w:rsid w:val="572C6B20"/>
    <w:rsid w:val="57571936"/>
    <w:rsid w:val="57580AD4"/>
    <w:rsid w:val="576803C8"/>
    <w:rsid w:val="576B0811"/>
    <w:rsid w:val="57875E85"/>
    <w:rsid w:val="57916D13"/>
    <w:rsid w:val="57AC0848"/>
    <w:rsid w:val="57B97296"/>
    <w:rsid w:val="57BA719C"/>
    <w:rsid w:val="57BD53D9"/>
    <w:rsid w:val="57CF76F3"/>
    <w:rsid w:val="57CF77E1"/>
    <w:rsid w:val="57CF7B6C"/>
    <w:rsid w:val="57D508FC"/>
    <w:rsid w:val="57DC653B"/>
    <w:rsid w:val="57E44562"/>
    <w:rsid w:val="57EA6B91"/>
    <w:rsid w:val="57F21333"/>
    <w:rsid w:val="57F3507D"/>
    <w:rsid w:val="57F40927"/>
    <w:rsid w:val="58031E5D"/>
    <w:rsid w:val="580A094B"/>
    <w:rsid w:val="581A5507"/>
    <w:rsid w:val="582207F3"/>
    <w:rsid w:val="583077A8"/>
    <w:rsid w:val="583774B0"/>
    <w:rsid w:val="583A4160"/>
    <w:rsid w:val="583B6713"/>
    <w:rsid w:val="584077DE"/>
    <w:rsid w:val="58450E21"/>
    <w:rsid w:val="585548F3"/>
    <w:rsid w:val="58671A06"/>
    <w:rsid w:val="587454CC"/>
    <w:rsid w:val="58934800"/>
    <w:rsid w:val="58950439"/>
    <w:rsid w:val="58957BA8"/>
    <w:rsid w:val="5898638F"/>
    <w:rsid w:val="589B1722"/>
    <w:rsid w:val="589D3AE7"/>
    <w:rsid w:val="589E1BBA"/>
    <w:rsid w:val="58A24244"/>
    <w:rsid w:val="58AA2CB6"/>
    <w:rsid w:val="58AF60A7"/>
    <w:rsid w:val="58B8779D"/>
    <w:rsid w:val="58BB3318"/>
    <w:rsid w:val="58D32C02"/>
    <w:rsid w:val="58D33B94"/>
    <w:rsid w:val="58DC5F5D"/>
    <w:rsid w:val="58E4234C"/>
    <w:rsid w:val="58F4053E"/>
    <w:rsid w:val="58F54D95"/>
    <w:rsid w:val="58F670FB"/>
    <w:rsid w:val="59060509"/>
    <w:rsid w:val="590B33F8"/>
    <w:rsid w:val="590D7AE9"/>
    <w:rsid w:val="590E6F2B"/>
    <w:rsid w:val="591F15CA"/>
    <w:rsid w:val="59214D2E"/>
    <w:rsid w:val="592F49BE"/>
    <w:rsid w:val="592F7D98"/>
    <w:rsid w:val="593E0F5E"/>
    <w:rsid w:val="594159E5"/>
    <w:rsid w:val="594606CC"/>
    <w:rsid w:val="594D66C3"/>
    <w:rsid w:val="5962719D"/>
    <w:rsid w:val="59730EB3"/>
    <w:rsid w:val="59745DBA"/>
    <w:rsid w:val="5976669E"/>
    <w:rsid w:val="598D0C2A"/>
    <w:rsid w:val="59907A46"/>
    <w:rsid w:val="59936A96"/>
    <w:rsid w:val="5997294F"/>
    <w:rsid w:val="59AA50E9"/>
    <w:rsid w:val="59AD307A"/>
    <w:rsid w:val="59B31D71"/>
    <w:rsid w:val="59B771AD"/>
    <w:rsid w:val="59C36D98"/>
    <w:rsid w:val="59CB6BFA"/>
    <w:rsid w:val="59CC55F1"/>
    <w:rsid w:val="59DF79A1"/>
    <w:rsid w:val="59E26693"/>
    <w:rsid w:val="59EC5FE7"/>
    <w:rsid w:val="59F039FB"/>
    <w:rsid w:val="5A0638AD"/>
    <w:rsid w:val="5A1244EF"/>
    <w:rsid w:val="5A136211"/>
    <w:rsid w:val="5A145DE7"/>
    <w:rsid w:val="5A146810"/>
    <w:rsid w:val="5A290B1D"/>
    <w:rsid w:val="5A3410A5"/>
    <w:rsid w:val="5A386DE8"/>
    <w:rsid w:val="5A3960DA"/>
    <w:rsid w:val="5A3E1C48"/>
    <w:rsid w:val="5A595137"/>
    <w:rsid w:val="5A646C06"/>
    <w:rsid w:val="5A6837D9"/>
    <w:rsid w:val="5A7871E4"/>
    <w:rsid w:val="5A79676E"/>
    <w:rsid w:val="5A7E1A98"/>
    <w:rsid w:val="5AAE5546"/>
    <w:rsid w:val="5ABA5A4E"/>
    <w:rsid w:val="5ACD4E7B"/>
    <w:rsid w:val="5AE57E5B"/>
    <w:rsid w:val="5AF373BF"/>
    <w:rsid w:val="5AFF7241"/>
    <w:rsid w:val="5B03308B"/>
    <w:rsid w:val="5B1007ED"/>
    <w:rsid w:val="5B152C85"/>
    <w:rsid w:val="5B192A6C"/>
    <w:rsid w:val="5B220D98"/>
    <w:rsid w:val="5B2353A2"/>
    <w:rsid w:val="5B263CF6"/>
    <w:rsid w:val="5B296730"/>
    <w:rsid w:val="5B2B11F5"/>
    <w:rsid w:val="5B315714"/>
    <w:rsid w:val="5B352A79"/>
    <w:rsid w:val="5B37709F"/>
    <w:rsid w:val="5B4A3E5F"/>
    <w:rsid w:val="5B4B0AFE"/>
    <w:rsid w:val="5B607011"/>
    <w:rsid w:val="5B8C7FB3"/>
    <w:rsid w:val="5B8F6E01"/>
    <w:rsid w:val="5B953DC6"/>
    <w:rsid w:val="5B9676B4"/>
    <w:rsid w:val="5BA41908"/>
    <w:rsid w:val="5BB701E0"/>
    <w:rsid w:val="5BC16969"/>
    <w:rsid w:val="5BCF56C3"/>
    <w:rsid w:val="5BE43C2C"/>
    <w:rsid w:val="5BE4769E"/>
    <w:rsid w:val="5BE95110"/>
    <w:rsid w:val="5BF77EF4"/>
    <w:rsid w:val="5C024917"/>
    <w:rsid w:val="5C0C455A"/>
    <w:rsid w:val="5C102159"/>
    <w:rsid w:val="5C105D2E"/>
    <w:rsid w:val="5C162428"/>
    <w:rsid w:val="5C180C7F"/>
    <w:rsid w:val="5C1C64B0"/>
    <w:rsid w:val="5C226257"/>
    <w:rsid w:val="5C294C92"/>
    <w:rsid w:val="5C2F210C"/>
    <w:rsid w:val="5C327061"/>
    <w:rsid w:val="5C384C17"/>
    <w:rsid w:val="5C4430E1"/>
    <w:rsid w:val="5C515D40"/>
    <w:rsid w:val="5C6519EA"/>
    <w:rsid w:val="5C6B6C1B"/>
    <w:rsid w:val="5C8D5319"/>
    <w:rsid w:val="5C8E61B7"/>
    <w:rsid w:val="5C901244"/>
    <w:rsid w:val="5C982F89"/>
    <w:rsid w:val="5CB8437B"/>
    <w:rsid w:val="5CBA1D36"/>
    <w:rsid w:val="5CBB785C"/>
    <w:rsid w:val="5CBD0B29"/>
    <w:rsid w:val="5CCB2DCD"/>
    <w:rsid w:val="5CCC421E"/>
    <w:rsid w:val="5CCF1A37"/>
    <w:rsid w:val="5CD663C3"/>
    <w:rsid w:val="5CF42FA5"/>
    <w:rsid w:val="5CF52848"/>
    <w:rsid w:val="5CFA26B5"/>
    <w:rsid w:val="5CFC3A31"/>
    <w:rsid w:val="5D023A7A"/>
    <w:rsid w:val="5D0C3E49"/>
    <w:rsid w:val="5D2864C2"/>
    <w:rsid w:val="5D5C7515"/>
    <w:rsid w:val="5D634116"/>
    <w:rsid w:val="5D6722DE"/>
    <w:rsid w:val="5D6E5F12"/>
    <w:rsid w:val="5D70764A"/>
    <w:rsid w:val="5D76101E"/>
    <w:rsid w:val="5D776B68"/>
    <w:rsid w:val="5D797989"/>
    <w:rsid w:val="5D7A3BB6"/>
    <w:rsid w:val="5D845EA0"/>
    <w:rsid w:val="5D9179E9"/>
    <w:rsid w:val="5D951D50"/>
    <w:rsid w:val="5D98265D"/>
    <w:rsid w:val="5D9C54AD"/>
    <w:rsid w:val="5DA31852"/>
    <w:rsid w:val="5DA402F0"/>
    <w:rsid w:val="5DAF1603"/>
    <w:rsid w:val="5DD35807"/>
    <w:rsid w:val="5DE35D1B"/>
    <w:rsid w:val="5DE377B1"/>
    <w:rsid w:val="5DE63AF6"/>
    <w:rsid w:val="5DF03535"/>
    <w:rsid w:val="5DF21FF8"/>
    <w:rsid w:val="5DF7493D"/>
    <w:rsid w:val="5E0201F9"/>
    <w:rsid w:val="5E09194E"/>
    <w:rsid w:val="5E1133BD"/>
    <w:rsid w:val="5E1223C5"/>
    <w:rsid w:val="5E126FBA"/>
    <w:rsid w:val="5E270CC9"/>
    <w:rsid w:val="5E3A6883"/>
    <w:rsid w:val="5E56783C"/>
    <w:rsid w:val="5E6F08FE"/>
    <w:rsid w:val="5E8625BA"/>
    <w:rsid w:val="5E954808"/>
    <w:rsid w:val="5E9B0D32"/>
    <w:rsid w:val="5EAC0899"/>
    <w:rsid w:val="5EAE0FE5"/>
    <w:rsid w:val="5EAF1170"/>
    <w:rsid w:val="5EC50765"/>
    <w:rsid w:val="5EC92749"/>
    <w:rsid w:val="5ECD7C6A"/>
    <w:rsid w:val="5ED13107"/>
    <w:rsid w:val="5ED73600"/>
    <w:rsid w:val="5EDC2437"/>
    <w:rsid w:val="5EDE46F2"/>
    <w:rsid w:val="5EE05471"/>
    <w:rsid w:val="5EF818FC"/>
    <w:rsid w:val="5EFC34CD"/>
    <w:rsid w:val="5F036867"/>
    <w:rsid w:val="5F1514A5"/>
    <w:rsid w:val="5F177E86"/>
    <w:rsid w:val="5F1B5299"/>
    <w:rsid w:val="5F1F5BF9"/>
    <w:rsid w:val="5F24793A"/>
    <w:rsid w:val="5F277FBB"/>
    <w:rsid w:val="5F2F357C"/>
    <w:rsid w:val="5F3A2EB9"/>
    <w:rsid w:val="5F3B6A32"/>
    <w:rsid w:val="5F403F95"/>
    <w:rsid w:val="5F4C2CB5"/>
    <w:rsid w:val="5F586D18"/>
    <w:rsid w:val="5F603F5D"/>
    <w:rsid w:val="5F7212D4"/>
    <w:rsid w:val="5F7448AD"/>
    <w:rsid w:val="5F8E07E5"/>
    <w:rsid w:val="5F983BF6"/>
    <w:rsid w:val="5F9C1BC7"/>
    <w:rsid w:val="5FB07671"/>
    <w:rsid w:val="5FC209B5"/>
    <w:rsid w:val="5FC70D92"/>
    <w:rsid w:val="5FCB08A8"/>
    <w:rsid w:val="5FCF36E9"/>
    <w:rsid w:val="5FCF75A9"/>
    <w:rsid w:val="5FE20C53"/>
    <w:rsid w:val="5FF76DFD"/>
    <w:rsid w:val="5FFA377F"/>
    <w:rsid w:val="60071B82"/>
    <w:rsid w:val="60190C1F"/>
    <w:rsid w:val="601962C9"/>
    <w:rsid w:val="601A0781"/>
    <w:rsid w:val="60237486"/>
    <w:rsid w:val="602768DB"/>
    <w:rsid w:val="60523293"/>
    <w:rsid w:val="60646943"/>
    <w:rsid w:val="6067284D"/>
    <w:rsid w:val="60844B35"/>
    <w:rsid w:val="6088503C"/>
    <w:rsid w:val="608C7256"/>
    <w:rsid w:val="6098593E"/>
    <w:rsid w:val="60A73CB4"/>
    <w:rsid w:val="60AD40B9"/>
    <w:rsid w:val="60B9497D"/>
    <w:rsid w:val="60BE791B"/>
    <w:rsid w:val="60D266CD"/>
    <w:rsid w:val="60E60420"/>
    <w:rsid w:val="60EC2838"/>
    <w:rsid w:val="610B56FE"/>
    <w:rsid w:val="61144209"/>
    <w:rsid w:val="61182CBD"/>
    <w:rsid w:val="611A7E07"/>
    <w:rsid w:val="611F7F1D"/>
    <w:rsid w:val="61371BA7"/>
    <w:rsid w:val="613F6E41"/>
    <w:rsid w:val="61533910"/>
    <w:rsid w:val="615648BD"/>
    <w:rsid w:val="616675C0"/>
    <w:rsid w:val="61793A27"/>
    <w:rsid w:val="61973182"/>
    <w:rsid w:val="61A454AE"/>
    <w:rsid w:val="61A82A86"/>
    <w:rsid w:val="61A92AD9"/>
    <w:rsid w:val="61B14CEC"/>
    <w:rsid w:val="61B54872"/>
    <w:rsid w:val="61BD221B"/>
    <w:rsid w:val="61BF394A"/>
    <w:rsid w:val="61D91CD9"/>
    <w:rsid w:val="6201046A"/>
    <w:rsid w:val="62137A18"/>
    <w:rsid w:val="622B1727"/>
    <w:rsid w:val="622E559F"/>
    <w:rsid w:val="623C3AF6"/>
    <w:rsid w:val="62401047"/>
    <w:rsid w:val="625042FF"/>
    <w:rsid w:val="625D7E54"/>
    <w:rsid w:val="625E13B5"/>
    <w:rsid w:val="62645476"/>
    <w:rsid w:val="626670E5"/>
    <w:rsid w:val="626B09F5"/>
    <w:rsid w:val="627F080C"/>
    <w:rsid w:val="62854401"/>
    <w:rsid w:val="628C5F22"/>
    <w:rsid w:val="6292176D"/>
    <w:rsid w:val="629C6553"/>
    <w:rsid w:val="62BB2364"/>
    <w:rsid w:val="62C26090"/>
    <w:rsid w:val="62C44DBF"/>
    <w:rsid w:val="62C86917"/>
    <w:rsid w:val="62D9002A"/>
    <w:rsid w:val="62DB0C58"/>
    <w:rsid w:val="62DF67FF"/>
    <w:rsid w:val="62E805B1"/>
    <w:rsid w:val="62E970CA"/>
    <w:rsid w:val="62F812DB"/>
    <w:rsid w:val="62FB3F89"/>
    <w:rsid w:val="62FC4B31"/>
    <w:rsid w:val="6308402D"/>
    <w:rsid w:val="630E6961"/>
    <w:rsid w:val="63177005"/>
    <w:rsid w:val="631A2203"/>
    <w:rsid w:val="6322673A"/>
    <w:rsid w:val="63241F79"/>
    <w:rsid w:val="632F25B4"/>
    <w:rsid w:val="633869B9"/>
    <w:rsid w:val="633C5AC4"/>
    <w:rsid w:val="633F1673"/>
    <w:rsid w:val="634479E5"/>
    <w:rsid w:val="63462575"/>
    <w:rsid w:val="63552738"/>
    <w:rsid w:val="635B1933"/>
    <w:rsid w:val="635B710A"/>
    <w:rsid w:val="636173B9"/>
    <w:rsid w:val="636724EC"/>
    <w:rsid w:val="637349EC"/>
    <w:rsid w:val="637A3FCD"/>
    <w:rsid w:val="63890BA5"/>
    <w:rsid w:val="63933A8F"/>
    <w:rsid w:val="639D7CBB"/>
    <w:rsid w:val="63AD0A58"/>
    <w:rsid w:val="63B307BC"/>
    <w:rsid w:val="63B922B6"/>
    <w:rsid w:val="63BA7D07"/>
    <w:rsid w:val="63BB45AE"/>
    <w:rsid w:val="63C811DC"/>
    <w:rsid w:val="63D62198"/>
    <w:rsid w:val="63E41F20"/>
    <w:rsid w:val="63E7206A"/>
    <w:rsid w:val="63E73E74"/>
    <w:rsid w:val="63F467B3"/>
    <w:rsid w:val="63F53CF2"/>
    <w:rsid w:val="63F70E45"/>
    <w:rsid w:val="63F83144"/>
    <w:rsid w:val="63FD4238"/>
    <w:rsid w:val="63FF0976"/>
    <w:rsid w:val="64032818"/>
    <w:rsid w:val="640901FE"/>
    <w:rsid w:val="640D58CD"/>
    <w:rsid w:val="640F3529"/>
    <w:rsid w:val="642B7D4B"/>
    <w:rsid w:val="64315DD3"/>
    <w:rsid w:val="645667E8"/>
    <w:rsid w:val="64686B51"/>
    <w:rsid w:val="646A17FA"/>
    <w:rsid w:val="646A3B2F"/>
    <w:rsid w:val="64735608"/>
    <w:rsid w:val="647B4DC0"/>
    <w:rsid w:val="648522D5"/>
    <w:rsid w:val="64AA08E2"/>
    <w:rsid w:val="64B136F6"/>
    <w:rsid w:val="64B13B58"/>
    <w:rsid w:val="64C6702C"/>
    <w:rsid w:val="64D902DC"/>
    <w:rsid w:val="64D94AFD"/>
    <w:rsid w:val="64E76A90"/>
    <w:rsid w:val="64E900F9"/>
    <w:rsid w:val="64EB4C2B"/>
    <w:rsid w:val="64EB63C6"/>
    <w:rsid w:val="64EC3A2A"/>
    <w:rsid w:val="64F045A5"/>
    <w:rsid w:val="64F30ACD"/>
    <w:rsid w:val="6502635D"/>
    <w:rsid w:val="65055A58"/>
    <w:rsid w:val="650E0E71"/>
    <w:rsid w:val="651B358E"/>
    <w:rsid w:val="65261873"/>
    <w:rsid w:val="652B55BF"/>
    <w:rsid w:val="653E1BAB"/>
    <w:rsid w:val="654347C6"/>
    <w:rsid w:val="65651BD8"/>
    <w:rsid w:val="656C4A8D"/>
    <w:rsid w:val="656E505B"/>
    <w:rsid w:val="65705687"/>
    <w:rsid w:val="657609CF"/>
    <w:rsid w:val="65764C68"/>
    <w:rsid w:val="65797DB5"/>
    <w:rsid w:val="658421CA"/>
    <w:rsid w:val="658C4BF5"/>
    <w:rsid w:val="659833EA"/>
    <w:rsid w:val="659E00D7"/>
    <w:rsid w:val="65A00535"/>
    <w:rsid w:val="65A4159C"/>
    <w:rsid w:val="65C63153"/>
    <w:rsid w:val="65CD1834"/>
    <w:rsid w:val="65CF750C"/>
    <w:rsid w:val="65E15B96"/>
    <w:rsid w:val="65E22230"/>
    <w:rsid w:val="65E74046"/>
    <w:rsid w:val="65E8740B"/>
    <w:rsid w:val="65EE56B8"/>
    <w:rsid w:val="65EF1284"/>
    <w:rsid w:val="65EF6E39"/>
    <w:rsid w:val="65F75CDA"/>
    <w:rsid w:val="65FB1EF1"/>
    <w:rsid w:val="65FC2314"/>
    <w:rsid w:val="65FD7111"/>
    <w:rsid w:val="65FE5E70"/>
    <w:rsid w:val="66236B9E"/>
    <w:rsid w:val="662F04F3"/>
    <w:rsid w:val="6635244C"/>
    <w:rsid w:val="66380A9E"/>
    <w:rsid w:val="663C0501"/>
    <w:rsid w:val="663D647B"/>
    <w:rsid w:val="66404F77"/>
    <w:rsid w:val="665416FC"/>
    <w:rsid w:val="665705F5"/>
    <w:rsid w:val="665A1E94"/>
    <w:rsid w:val="665B4000"/>
    <w:rsid w:val="665C26CF"/>
    <w:rsid w:val="665F751B"/>
    <w:rsid w:val="66693C8D"/>
    <w:rsid w:val="666F06D1"/>
    <w:rsid w:val="66A10DE1"/>
    <w:rsid w:val="66B70049"/>
    <w:rsid w:val="66B9465C"/>
    <w:rsid w:val="66BA0410"/>
    <w:rsid w:val="66C06DDA"/>
    <w:rsid w:val="66C32801"/>
    <w:rsid w:val="66CE6D5F"/>
    <w:rsid w:val="66D46BAB"/>
    <w:rsid w:val="66DA0468"/>
    <w:rsid w:val="66E520A5"/>
    <w:rsid w:val="670424C4"/>
    <w:rsid w:val="67125AC9"/>
    <w:rsid w:val="67243E94"/>
    <w:rsid w:val="672A0023"/>
    <w:rsid w:val="672A7051"/>
    <w:rsid w:val="672B508F"/>
    <w:rsid w:val="672C6FF0"/>
    <w:rsid w:val="673932F2"/>
    <w:rsid w:val="673E4937"/>
    <w:rsid w:val="67426CE4"/>
    <w:rsid w:val="67445AE3"/>
    <w:rsid w:val="674A1F08"/>
    <w:rsid w:val="674F55E8"/>
    <w:rsid w:val="67517B38"/>
    <w:rsid w:val="675356A9"/>
    <w:rsid w:val="67562A20"/>
    <w:rsid w:val="67587A01"/>
    <w:rsid w:val="676F7B14"/>
    <w:rsid w:val="676F7BC1"/>
    <w:rsid w:val="677173E4"/>
    <w:rsid w:val="677A17D2"/>
    <w:rsid w:val="677C2030"/>
    <w:rsid w:val="67BF28F6"/>
    <w:rsid w:val="67C43CDF"/>
    <w:rsid w:val="67C94C9C"/>
    <w:rsid w:val="67DA4A82"/>
    <w:rsid w:val="67DF69A8"/>
    <w:rsid w:val="67E01E23"/>
    <w:rsid w:val="67E32903"/>
    <w:rsid w:val="67E87F1E"/>
    <w:rsid w:val="67ED38AF"/>
    <w:rsid w:val="67F253DD"/>
    <w:rsid w:val="67F500C6"/>
    <w:rsid w:val="67F51E74"/>
    <w:rsid w:val="67F5562F"/>
    <w:rsid w:val="67F674E9"/>
    <w:rsid w:val="67F850DF"/>
    <w:rsid w:val="6821710D"/>
    <w:rsid w:val="682473CB"/>
    <w:rsid w:val="68366386"/>
    <w:rsid w:val="68384210"/>
    <w:rsid w:val="68420280"/>
    <w:rsid w:val="68445125"/>
    <w:rsid w:val="6849753C"/>
    <w:rsid w:val="685B602A"/>
    <w:rsid w:val="685E0FE1"/>
    <w:rsid w:val="686F709E"/>
    <w:rsid w:val="68702EF7"/>
    <w:rsid w:val="68712A30"/>
    <w:rsid w:val="68712C94"/>
    <w:rsid w:val="68932E6C"/>
    <w:rsid w:val="68941A08"/>
    <w:rsid w:val="689618A9"/>
    <w:rsid w:val="68A40712"/>
    <w:rsid w:val="68B158F6"/>
    <w:rsid w:val="68D5612D"/>
    <w:rsid w:val="68F55EA4"/>
    <w:rsid w:val="68FB170C"/>
    <w:rsid w:val="69046FA0"/>
    <w:rsid w:val="6906436F"/>
    <w:rsid w:val="690864AC"/>
    <w:rsid w:val="690F3409"/>
    <w:rsid w:val="69156C0D"/>
    <w:rsid w:val="691577D1"/>
    <w:rsid w:val="691D23E0"/>
    <w:rsid w:val="69202BB7"/>
    <w:rsid w:val="69202F82"/>
    <w:rsid w:val="69242406"/>
    <w:rsid w:val="69387987"/>
    <w:rsid w:val="69464E4D"/>
    <w:rsid w:val="694B6780"/>
    <w:rsid w:val="694F5F19"/>
    <w:rsid w:val="69510FB9"/>
    <w:rsid w:val="69662BF3"/>
    <w:rsid w:val="69761FF0"/>
    <w:rsid w:val="69774871"/>
    <w:rsid w:val="697A5B23"/>
    <w:rsid w:val="6986266A"/>
    <w:rsid w:val="69941590"/>
    <w:rsid w:val="699B4C9D"/>
    <w:rsid w:val="69A444D8"/>
    <w:rsid w:val="69AC5364"/>
    <w:rsid w:val="69AF4E45"/>
    <w:rsid w:val="69B54FD9"/>
    <w:rsid w:val="69B60ACD"/>
    <w:rsid w:val="69B67D29"/>
    <w:rsid w:val="69B81716"/>
    <w:rsid w:val="69C452BF"/>
    <w:rsid w:val="69C53AC8"/>
    <w:rsid w:val="69C97A5C"/>
    <w:rsid w:val="69CC08A0"/>
    <w:rsid w:val="69CC46C9"/>
    <w:rsid w:val="69D06E8B"/>
    <w:rsid w:val="69D5106F"/>
    <w:rsid w:val="69DC0CF7"/>
    <w:rsid w:val="69E162BB"/>
    <w:rsid w:val="69E41B66"/>
    <w:rsid w:val="69F04469"/>
    <w:rsid w:val="69F62E76"/>
    <w:rsid w:val="69F85C4B"/>
    <w:rsid w:val="69FA7873"/>
    <w:rsid w:val="6A230078"/>
    <w:rsid w:val="6A274438"/>
    <w:rsid w:val="6A2B6021"/>
    <w:rsid w:val="6A4333E4"/>
    <w:rsid w:val="6A5B3EB9"/>
    <w:rsid w:val="6A607D15"/>
    <w:rsid w:val="6A6622B1"/>
    <w:rsid w:val="6A70714A"/>
    <w:rsid w:val="6A7800EF"/>
    <w:rsid w:val="6A7E25F5"/>
    <w:rsid w:val="6AA177E0"/>
    <w:rsid w:val="6AAB0F10"/>
    <w:rsid w:val="6AB04BCE"/>
    <w:rsid w:val="6AB26742"/>
    <w:rsid w:val="6AB31B5E"/>
    <w:rsid w:val="6AB40412"/>
    <w:rsid w:val="6AB6231D"/>
    <w:rsid w:val="6AB67F05"/>
    <w:rsid w:val="6AC85D9D"/>
    <w:rsid w:val="6AD7460E"/>
    <w:rsid w:val="6ADE1D55"/>
    <w:rsid w:val="6ADF5A77"/>
    <w:rsid w:val="6AE05A45"/>
    <w:rsid w:val="6AF159A8"/>
    <w:rsid w:val="6AF2109A"/>
    <w:rsid w:val="6AF94006"/>
    <w:rsid w:val="6AF967A0"/>
    <w:rsid w:val="6B0B0091"/>
    <w:rsid w:val="6B120F8F"/>
    <w:rsid w:val="6B1E0D9B"/>
    <w:rsid w:val="6B1E4C0E"/>
    <w:rsid w:val="6B2140C9"/>
    <w:rsid w:val="6B3F2CC3"/>
    <w:rsid w:val="6B451C6F"/>
    <w:rsid w:val="6B461D26"/>
    <w:rsid w:val="6B83503B"/>
    <w:rsid w:val="6B8F438D"/>
    <w:rsid w:val="6B8F67A0"/>
    <w:rsid w:val="6BAC0B87"/>
    <w:rsid w:val="6BB22E2F"/>
    <w:rsid w:val="6BB7072B"/>
    <w:rsid w:val="6BC5589D"/>
    <w:rsid w:val="6BDF5F53"/>
    <w:rsid w:val="6BF405FE"/>
    <w:rsid w:val="6BF6644D"/>
    <w:rsid w:val="6BF70FC5"/>
    <w:rsid w:val="6BFB2BB3"/>
    <w:rsid w:val="6C0503AD"/>
    <w:rsid w:val="6C057467"/>
    <w:rsid w:val="6C1E689F"/>
    <w:rsid w:val="6C2546F7"/>
    <w:rsid w:val="6C2562E4"/>
    <w:rsid w:val="6C2A48C4"/>
    <w:rsid w:val="6C323E12"/>
    <w:rsid w:val="6C3A1E2A"/>
    <w:rsid w:val="6C422FCA"/>
    <w:rsid w:val="6C43467E"/>
    <w:rsid w:val="6C4E249B"/>
    <w:rsid w:val="6C50046A"/>
    <w:rsid w:val="6C550BE8"/>
    <w:rsid w:val="6C7B7FD8"/>
    <w:rsid w:val="6C852857"/>
    <w:rsid w:val="6C8C6B1F"/>
    <w:rsid w:val="6C9723F2"/>
    <w:rsid w:val="6CA10D20"/>
    <w:rsid w:val="6CA200F0"/>
    <w:rsid w:val="6CA35BF5"/>
    <w:rsid w:val="6CB95B66"/>
    <w:rsid w:val="6CBC7E34"/>
    <w:rsid w:val="6CD667BB"/>
    <w:rsid w:val="6CD9122E"/>
    <w:rsid w:val="6CDD247E"/>
    <w:rsid w:val="6CE70A90"/>
    <w:rsid w:val="6CE80574"/>
    <w:rsid w:val="6CEA4CE6"/>
    <w:rsid w:val="6CFA12CC"/>
    <w:rsid w:val="6D0252AE"/>
    <w:rsid w:val="6D032CC5"/>
    <w:rsid w:val="6D101AFC"/>
    <w:rsid w:val="6D1422CB"/>
    <w:rsid w:val="6D16224E"/>
    <w:rsid w:val="6D1B7C30"/>
    <w:rsid w:val="6D1D20D3"/>
    <w:rsid w:val="6D301BA0"/>
    <w:rsid w:val="6D3165EF"/>
    <w:rsid w:val="6D3B443E"/>
    <w:rsid w:val="6D3E5248"/>
    <w:rsid w:val="6D453DD7"/>
    <w:rsid w:val="6D4A2C62"/>
    <w:rsid w:val="6D4A6418"/>
    <w:rsid w:val="6D572F93"/>
    <w:rsid w:val="6D593823"/>
    <w:rsid w:val="6D68133A"/>
    <w:rsid w:val="6D733DC9"/>
    <w:rsid w:val="6D8776D8"/>
    <w:rsid w:val="6D8B2E85"/>
    <w:rsid w:val="6D8D3B34"/>
    <w:rsid w:val="6D980CFE"/>
    <w:rsid w:val="6D9B3D49"/>
    <w:rsid w:val="6DA514C3"/>
    <w:rsid w:val="6DAE7750"/>
    <w:rsid w:val="6DB4435B"/>
    <w:rsid w:val="6DB61AA5"/>
    <w:rsid w:val="6DB9056F"/>
    <w:rsid w:val="6DBA05AB"/>
    <w:rsid w:val="6DC87DCD"/>
    <w:rsid w:val="6DCD7BF1"/>
    <w:rsid w:val="6DCF6036"/>
    <w:rsid w:val="6DD2546C"/>
    <w:rsid w:val="6DE16D9C"/>
    <w:rsid w:val="6DED569B"/>
    <w:rsid w:val="6E032E11"/>
    <w:rsid w:val="6E056171"/>
    <w:rsid w:val="6E1E003F"/>
    <w:rsid w:val="6E2D0BB3"/>
    <w:rsid w:val="6E430ED5"/>
    <w:rsid w:val="6E48251F"/>
    <w:rsid w:val="6E5D725B"/>
    <w:rsid w:val="6E6F2F93"/>
    <w:rsid w:val="6E7A2392"/>
    <w:rsid w:val="6E7A5A1C"/>
    <w:rsid w:val="6E88502C"/>
    <w:rsid w:val="6E9B09E7"/>
    <w:rsid w:val="6EB61E25"/>
    <w:rsid w:val="6EB94D5E"/>
    <w:rsid w:val="6EBB75EB"/>
    <w:rsid w:val="6ECD58F9"/>
    <w:rsid w:val="6ED45E93"/>
    <w:rsid w:val="6ED925BB"/>
    <w:rsid w:val="6EE45160"/>
    <w:rsid w:val="6EE62A6A"/>
    <w:rsid w:val="6EEE586F"/>
    <w:rsid w:val="6EFD7E34"/>
    <w:rsid w:val="6EFE24AE"/>
    <w:rsid w:val="6F03756C"/>
    <w:rsid w:val="6F054CBC"/>
    <w:rsid w:val="6F083D55"/>
    <w:rsid w:val="6F13399E"/>
    <w:rsid w:val="6F153967"/>
    <w:rsid w:val="6F222505"/>
    <w:rsid w:val="6F2908C4"/>
    <w:rsid w:val="6F2A3FC6"/>
    <w:rsid w:val="6F2B1E4D"/>
    <w:rsid w:val="6F2C4BFF"/>
    <w:rsid w:val="6F36360B"/>
    <w:rsid w:val="6F4468FE"/>
    <w:rsid w:val="6F5C390A"/>
    <w:rsid w:val="6F5D2E5F"/>
    <w:rsid w:val="6F651A77"/>
    <w:rsid w:val="6F6541DA"/>
    <w:rsid w:val="6F6D1650"/>
    <w:rsid w:val="6F6E4CA3"/>
    <w:rsid w:val="6F713270"/>
    <w:rsid w:val="6F8238FA"/>
    <w:rsid w:val="6F8D3179"/>
    <w:rsid w:val="6F8E1C2E"/>
    <w:rsid w:val="6F8F7A40"/>
    <w:rsid w:val="6F9C351D"/>
    <w:rsid w:val="6F9E036B"/>
    <w:rsid w:val="6FAB5ECE"/>
    <w:rsid w:val="6FC2655F"/>
    <w:rsid w:val="6FC53B02"/>
    <w:rsid w:val="6FC65BDB"/>
    <w:rsid w:val="6FC71100"/>
    <w:rsid w:val="6FC83C81"/>
    <w:rsid w:val="6FC941CA"/>
    <w:rsid w:val="6FD44A65"/>
    <w:rsid w:val="6FE5551A"/>
    <w:rsid w:val="6FEC07AC"/>
    <w:rsid w:val="6FF13869"/>
    <w:rsid w:val="7003225E"/>
    <w:rsid w:val="70037069"/>
    <w:rsid w:val="70090582"/>
    <w:rsid w:val="700F241C"/>
    <w:rsid w:val="70112762"/>
    <w:rsid w:val="702C0FBB"/>
    <w:rsid w:val="70340273"/>
    <w:rsid w:val="703A66F6"/>
    <w:rsid w:val="704B365B"/>
    <w:rsid w:val="704B74EC"/>
    <w:rsid w:val="70552C40"/>
    <w:rsid w:val="705826B2"/>
    <w:rsid w:val="705D1EC8"/>
    <w:rsid w:val="70623D62"/>
    <w:rsid w:val="70664B9D"/>
    <w:rsid w:val="707C53CF"/>
    <w:rsid w:val="708C1CDB"/>
    <w:rsid w:val="70974410"/>
    <w:rsid w:val="70B328CC"/>
    <w:rsid w:val="70B54896"/>
    <w:rsid w:val="70D02B39"/>
    <w:rsid w:val="70D060F7"/>
    <w:rsid w:val="70D07605"/>
    <w:rsid w:val="70D61D20"/>
    <w:rsid w:val="70D86D3F"/>
    <w:rsid w:val="70EB4D6F"/>
    <w:rsid w:val="70EE60DC"/>
    <w:rsid w:val="70F27898"/>
    <w:rsid w:val="710868D3"/>
    <w:rsid w:val="710A2FD0"/>
    <w:rsid w:val="710F4C32"/>
    <w:rsid w:val="71111BBE"/>
    <w:rsid w:val="71146A7C"/>
    <w:rsid w:val="71202A40"/>
    <w:rsid w:val="71315679"/>
    <w:rsid w:val="71323B75"/>
    <w:rsid w:val="713F19C8"/>
    <w:rsid w:val="716D5171"/>
    <w:rsid w:val="717C5D3C"/>
    <w:rsid w:val="71824465"/>
    <w:rsid w:val="7186131D"/>
    <w:rsid w:val="71B45316"/>
    <w:rsid w:val="71B55189"/>
    <w:rsid w:val="71B96608"/>
    <w:rsid w:val="71BA7C8A"/>
    <w:rsid w:val="71D015D1"/>
    <w:rsid w:val="71DB7205"/>
    <w:rsid w:val="71DD22F7"/>
    <w:rsid w:val="71E116BB"/>
    <w:rsid w:val="71E22D74"/>
    <w:rsid w:val="71E73849"/>
    <w:rsid w:val="71F30D93"/>
    <w:rsid w:val="71F31B1A"/>
    <w:rsid w:val="71F81C58"/>
    <w:rsid w:val="71FA53E6"/>
    <w:rsid w:val="720D05E3"/>
    <w:rsid w:val="72151326"/>
    <w:rsid w:val="72166761"/>
    <w:rsid w:val="721B4BCD"/>
    <w:rsid w:val="72216288"/>
    <w:rsid w:val="722E5DAE"/>
    <w:rsid w:val="723D5ED0"/>
    <w:rsid w:val="723E61A1"/>
    <w:rsid w:val="7249173A"/>
    <w:rsid w:val="724A559D"/>
    <w:rsid w:val="725325B9"/>
    <w:rsid w:val="72604CD6"/>
    <w:rsid w:val="72680562"/>
    <w:rsid w:val="726C367A"/>
    <w:rsid w:val="726F4F19"/>
    <w:rsid w:val="72785B7B"/>
    <w:rsid w:val="727E6F0A"/>
    <w:rsid w:val="728165FD"/>
    <w:rsid w:val="728A1F72"/>
    <w:rsid w:val="729F135A"/>
    <w:rsid w:val="72A050D2"/>
    <w:rsid w:val="72AB3B96"/>
    <w:rsid w:val="72BA05C8"/>
    <w:rsid w:val="72C76139"/>
    <w:rsid w:val="72CA1155"/>
    <w:rsid w:val="72D11DF7"/>
    <w:rsid w:val="72D20F88"/>
    <w:rsid w:val="72D52DFB"/>
    <w:rsid w:val="72D815C5"/>
    <w:rsid w:val="72E05562"/>
    <w:rsid w:val="72E852C7"/>
    <w:rsid w:val="72F90332"/>
    <w:rsid w:val="7300666B"/>
    <w:rsid w:val="73035EAF"/>
    <w:rsid w:val="730471E0"/>
    <w:rsid w:val="730A3586"/>
    <w:rsid w:val="730E1EFB"/>
    <w:rsid w:val="733778B4"/>
    <w:rsid w:val="73492750"/>
    <w:rsid w:val="73583660"/>
    <w:rsid w:val="73616ABC"/>
    <w:rsid w:val="73747A59"/>
    <w:rsid w:val="737B3F55"/>
    <w:rsid w:val="737C448D"/>
    <w:rsid w:val="737E5413"/>
    <w:rsid w:val="738A6BAD"/>
    <w:rsid w:val="738D5656"/>
    <w:rsid w:val="73910F1F"/>
    <w:rsid w:val="739943AC"/>
    <w:rsid w:val="73A741B5"/>
    <w:rsid w:val="73A75A3C"/>
    <w:rsid w:val="73A75BCA"/>
    <w:rsid w:val="73AB7919"/>
    <w:rsid w:val="73AE3639"/>
    <w:rsid w:val="73AF3631"/>
    <w:rsid w:val="73B04E6C"/>
    <w:rsid w:val="73B70423"/>
    <w:rsid w:val="73B72D5A"/>
    <w:rsid w:val="73C56A33"/>
    <w:rsid w:val="73D73B1A"/>
    <w:rsid w:val="73D9051D"/>
    <w:rsid w:val="73DB0AB8"/>
    <w:rsid w:val="73E122AB"/>
    <w:rsid w:val="73E82174"/>
    <w:rsid w:val="73E83652"/>
    <w:rsid w:val="73EF00BF"/>
    <w:rsid w:val="73FC4A4A"/>
    <w:rsid w:val="73FF5865"/>
    <w:rsid w:val="74020576"/>
    <w:rsid w:val="7406346F"/>
    <w:rsid w:val="740F28E3"/>
    <w:rsid w:val="741778F4"/>
    <w:rsid w:val="741E08BA"/>
    <w:rsid w:val="743507CA"/>
    <w:rsid w:val="743A4A7F"/>
    <w:rsid w:val="744F2F1D"/>
    <w:rsid w:val="74566BC0"/>
    <w:rsid w:val="74590478"/>
    <w:rsid w:val="746213A9"/>
    <w:rsid w:val="74627923"/>
    <w:rsid w:val="746B6F6E"/>
    <w:rsid w:val="74834EFC"/>
    <w:rsid w:val="748B678A"/>
    <w:rsid w:val="748D3B3A"/>
    <w:rsid w:val="748E2C56"/>
    <w:rsid w:val="749173C8"/>
    <w:rsid w:val="749331F8"/>
    <w:rsid w:val="74980232"/>
    <w:rsid w:val="74A42DFF"/>
    <w:rsid w:val="74AC7D5E"/>
    <w:rsid w:val="74AE53EF"/>
    <w:rsid w:val="74B505CD"/>
    <w:rsid w:val="74C04DD9"/>
    <w:rsid w:val="74C23C48"/>
    <w:rsid w:val="74CD648D"/>
    <w:rsid w:val="74DB6895"/>
    <w:rsid w:val="74E02B7C"/>
    <w:rsid w:val="74E129B1"/>
    <w:rsid w:val="74E95DDF"/>
    <w:rsid w:val="75156208"/>
    <w:rsid w:val="751E2E09"/>
    <w:rsid w:val="75247D31"/>
    <w:rsid w:val="752B15CB"/>
    <w:rsid w:val="752D0451"/>
    <w:rsid w:val="753B10E2"/>
    <w:rsid w:val="755E5FCB"/>
    <w:rsid w:val="756415E7"/>
    <w:rsid w:val="7565467F"/>
    <w:rsid w:val="757042D4"/>
    <w:rsid w:val="75733191"/>
    <w:rsid w:val="757541AF"/>
    <w:rsid w:val="75867936"/>
    <w:rsid w:val="758962F1"/>
    <w:rsid w:val="758C457F"/>
    <w:rsid w:val="758D7803"/>
    <w:rsid w:val="759063C7"/>
    <w:rsid w:val="75933738"/>
    <w:rsid w:val="75A03D67"/>
    <w:rsid w:val="75A22BCD"/>
    <w:rsid w:val="75B15D73"/>
    <w:rsid w:val="75B72AFE"/>
    <w:rsid w:val="75C12B48"/>
    <w:rsid w:val="75CA44F0"/>
    <w:rsid w:val="75CB090F"/>
    <w:rsid w:val="75EA4FE2"/>
    <w:rsid w:val="75EE5BAD"/>
    <w:rsid w:val="75F25C45"/>
    <w:rsid w:val="76035D04"/>
    <w:rsid w:val="760C7611"/>
    <w:rsid w:val="761A2389"/>
    <w:rsid w:val="762A1882"/>
    <w:rsid w:val="7637442D"/>
    <w:rsid w:val="7640675C"/>
    <w:rsid w:val="76455427"/>
    <w:rsid w:val="764C7A4B"/>
    <w:rsid w:val="764F3F97"/>
    <w:rsid w:val="766D4581"/>
    <w:rsid w:val="76830430"/>
    <w:rsid w:val="76A03E8F"/>
    <w:rsid w:val="76AC3C2F"/>
    <w:rsid w:val="76AE4262"/>
    <w:rsid w:val="76C21ABB"/>
    <w:rsid w:val="76C30285"/>
    <w:rsid w:val="76CE62BA"/>
    <w:rsid w:val="76CF4F9B"/>
    <w:rsid w:val="76DA518C"/>
    <w:rsid w:val="76DC7579"/>
    <w:rsid w:val="76DD64E5"/>
    <w:rsid w:val="76E04775"/>
    <w:rsid w:val="76E732D0"/>
    <w:rsid w:val="76E91BE4"/>
    <w:rsid w:val="76EE1039"/>
    <w:rsid w:val="76F854DD"/>
    <w:rsid w:val="77013EA9"/>
    <w:rsid w:val="77014AB0"/>
    <w:rsid w:val="770A6ACB"/>
    <w:rsid w:val="770C145C"/>
    <w:rsid w:val="77152585"/>
    <w:rsid w:val="772041FE"/>
    <w:rsid w:val="772F7608"/>
    <w:rsid w:val="773810BB"/>
    <w:rsid w:val="773C79BF"/>
    <w:rsid w:val="774B29AD"/>
    <w:rsid w:val="77541FD3"/>
    <w:rsid w:val="77793F2D"/>
    <w:rsid w:val="778159DD"/>
    <w:rsid w:val="778169B2"/>
    <w:rsid w:val="77873D98"/>
    <w:rsid w:val="779924F8"/>
    <w:rsid w:val="77A14EA4"/>
    <w:rsid w:val="77A72D4F"/>
    <w:rsid w:val="77AF4564"/>
    <w:rsid w:val="77B07755"/>
    <w:rsid w:val="77B46FD8"/>
    <w:rsid w:val="77C05245"/>
    <w:rsid w:val="77CB0E43"/>
    <w:rsid w:val="77CD0717"/>
    <w:rsid w:val="77D30A01"/>
    <w:rsid w:val="77D600B8"/>
    <w:rsid w:val="77DE586C"/>
    <w:rsid w:val="77DE5F22"/>
    <w:rsid w:val="77F05565"/>
    <w:rsid w:val="77F263D0"/>
    <w:rsid w:val="77F56165"/>
    <w:rsid w:val="77F91A2C"/>
    <w:rsid w:val="78100F72"/>
    <w:rsid w:val="78221902"/>
    <w:rsid w:val="78240954"/>
    <w:rsid w:val="78266A5C"/>
    <w:rsid w:val="78266D06"/>
    <w:rsid w:val="783573D1"/>
    <w:rsid w:val="78414C61"/>
    <w:rsid w:val="7847279C"/>
    <w:rsid w:val="784A620C"/>
    <w:rsid w:val="784D70CE"/>
    <w:rsid w:val="784E652E"/>
    <w:rsid w:val="7860158C"/>
    <w:rsid w:val="786B1CDE"/>
    <w:rsid w:val="786D3CA8"/>
    <w:rsid w:val="786E6789"/>
    <w:rsid w:val="7874511B"/>
    <w:rsid w:val="78A376CA"/>
    <w:rsid w:val="78B50EF6"/>
    <w:rsid w:val="78C03D6C"/>
    <w:rsid w:val="78DA65F0"/>
    <w:rsid w:val="78E052AD"/>
    <w:rsid w:val="78E545A1"/>
    <w:rsid w:val="78EF290F"/>
    <w:rsid w:val="78F00628"/>
    <w:rsid w:val="78F15ADF"/>
    <w:rsid w:val="78F62C1D"/>
    <w:rsid w:val="78FE2B52"/>
    <w:rsid w:val="78FF3D6A"/>
    <w:rsid w:val="79010BC2"/>
    <w:rsid w:val="790422F6"/>
    <w:rsid w:val="79091372"/>
    <w:rsid w:val="790B086C"/>
    <w:rsid w:val="79145074"/>
    <w:rsid w:val="79385214"/>
    <w:rsid w:val="7939668C"/>
    <w:rsid w:val="793F3B19"/>
    <w:rsid w:val="7942271A"/>
    <w:rsid w:val="7947125C"/>
    <w:rsid w:val="794D4A3B"/>
    <w:rsid w:val="79640982"/>
    <w:rsid w:val="79870F22"/>
    <w:rsid w:val="79943AB9"/>
    <w:rsid w:val="799A18E4"/>
    <w:rsid w:val="79A80F1E"/>
    <w:rsid w:val="79AE0823"/>
    <w:rsid w:val="79B24069"/>
    <w:rsid w:val="79DA03A9"/>
    <w:rsid w:val="79DA492D"/>
    <w:rsid w:val="79DD7AD0"/>
    <w:rsid w:val="79F90AE4"/>
    <w:rsid w:val="79FE5DA4"/>
    <w:rsid w:val="7A0612E7"/>
    <w:rsid w:val="7A1E6313"/>
    <w:rsid w:val="7A205333"/>
    <w:rsid w:val="7A2F7467"/>
    <w:rsid w:val="7A374813"/>
    <w:rsid w:val="7A3934D2"/>
    <w:rsid w:val="7A4120A5"/>
    <w:rsid w:val="7A5E2D3A"/>
    <w:rsid w:val="7A686C9B"/>
    <w:rsid w:val="7A6D1D3E"/>
    <w:rsid w:val="7A6D7F90"/>
    <w:rsid w:val="7A7C1269"/>
    <w:rsid w:val="7A85177D"/>
    <w:rsid w:val="7A856247"/>
    <w:rsid w:val="7A895396"/>
    <w:rsid w:val="7AA3045C"/>
    <w:rsid w:val="7AA63430"/>
    <w:rsid w:val="7AAD0B5A"/>
    <w:rsid w:val="7AB61604"/>
    <w:rsid w:val="7AB63D32"/>
    <w:rsid w:val="7AB67994"/>
    <w:rsid w:val="7ABD4CCC"/>
    <w:rsid w:val="7ACD3D39"/>
    <w:rsid w:val="7AE00762"/>
    <w:rsid w:val="7AE30252"/>
    <w:rsid w:val="7AEF43FB"/>
    <w:rsid w:val="7AF34939"/>
    <w:rsid w:val="7AF661D7"/>
    <w:rsid w:val="7AF74FE2"/>
    <w:rsid w:val="7AFE153B"/>
    <w:rsid w:val="7AFF2AD2"/>
    <w:rsid w:val="7B082C85"/>
    <w:rsid w:val="7B0E1942"/>
    <w:rsid w:val="7B0E1E5D"/>
    <w:rsid w:val="7B132E51"/>
    <w:rsid w:val="7B147694"/>
    <w:rsid w:val="7B2B31E3"/>
    <w:rsid w:val="7B301BB4"/>
    <w:rsid w:val="7B3053A9"/>
    <w:rsid w:val="7B322EAB"/>
    <w:rsid w:val="7B44332D"/>
    <w:rsid w:val="7B447139"/>
    <w:rsid w:val="7B50295A"/>
    <w:rsid w:val="7B535FB9"/>
    <w:rsid w:val="7B574089"/>
    <w:rsid w:val="7B5D7529"/>
    <w:rsid w:val="7B62406E"/>
    <w:rsid w:val="7B6C569A"/>
    <w:rsid w:val="7B6C5D42"/>
    <w:rsid w:val="7B75534E"/>
    <w:rsid w:val="7B7B54BF"/>
    <w:rsid w:val="7B822FF7"/>
    <w:rsid w:val="7B823DA1"/>
    <w:rsid w:val="7B917F86"/>
    <w:rsid w:val="7B933A26"/>
    <w:rsid w:val="7BA44AA8"/>
    <w:rsid w:val="7BA84867"/>
    <w:rsid w:val="7BAD072B"/>
    <w:rsid w:val="7BB33E17"/>
    <w:rsid w:val="7BB77B08"/>
    <w:rsid w:val="7BB87930"/>
    <w:rsid w:val="7BB94E29"/>
    <w:rsid w:val="7BCE489C"/>
    <w:rsid w:val="7BD45598"/>
    <w:rsid w:val="7BD858DD"/>
    <w:rsid w:val="7BDC2403"/>
    <w:rsid w:val="7BE350C5"/>
    <w:rsid w:val="7BE94053"/>
    <w:rsid w:val="7BF251B3"/>
    <w:rsid w:val="7C0B707D"/>
    <w:rsid w:val="7C1C39F6"/>
    <w:rsid w:val="7C396C9D"/>
    <w:rsid w:val="7C4E1217"/>
    <w:rsid w:val="7C5130D9"/>
    <w:rsid w:val="7C6A7EFD"/>
    <w:rsid w:val="7C840BDD"/>
    <w:rsid w:val="7C876038"/>
    <w:rsid w:val="7CA74EA0"/>
    <w:rsid w:val="7CAA1027"/>
    <w:rsid w:val="7CB00413"/>
    <w:rsid w:val="7CB237B4"/>
    <w:rsid w:val="7CB77BE8"/>
    <w:rsid w:val="7CDB6368"/>
    <w:rsid w:val="7CEF6E29"/>
    <w:rsid w:val="7CF7204C"/>
    <w:rsid w:val="7D0050EB"/>
    <w:rsid w:val="7D055DBB"/>
    <w:rsid w:val="7D0C0075"/>
    <w:rsid w:val="7D0C5AE8"/>
    <w:rsid w:val="7D0F6E7E"/>
    <w:rsid w:val="7D1943FF"/>
    <w:rsid w:val="7D197F5B"/>
    <w:rsid w:val="7D1A3401"/>
    <w:rsid w:val="7D2320B5"/>
    <w:rsid w:val="7D28346F"/>
    <w:rsid w:val="7D2E171B"/>
    <w:rsid w:val="7D381FDF"/>
    <w:rsid w:val="7D4222E0"/>
    <w:rsid w:val="7D595A5D"/>
    <w:rsid w:val="7D620EB6"/>
    <w:rsid w:val="7D761672"/>
    <w:rsid w:val="7D861188"/>
    <w:rsid w:val="7D8A4A33"/>
    <w:rsid w:val="7D8F3BD6"/>
    <w:rsid w:val="7DB56F13"/>
    <w:rsid w:val="7DBC70B6"/>
    <w:rsid w:val="7DC430C3"/>
    <w:rsid w:val="7DC561F5"/>
    <w:rsid w:val="7DC75C09"/>
    <w:rsid w:val="7DCE0725"/>
    <w:rsid w:val="7DD25769"/>
    <w:rsid w:val="7DDC0A05"/>
    <w:rsid w:val="7DDD05F7"/>
    <w:rsid w:val="7DE806D4"/>
    <w:rsid w:val="7DF34C50"/>
    <w:rsid w:val="7E0230E5"/>
    <w:rsid w:val="7E07491E"/>
    <w:rsid w:val="7E186A2E"/>
    <w:rsid w:val="7E1B3D9C"/>
    <w:rsid w:val="7E220833"/>
    <w:rsid w:val="7E2716E9"/>
    <w:rsid w:val="7E283CBC"/>
    <w:rsid w:val="7E2E0A50"/>
    <w:rsid w:val="7E30213D"/>
    <w:rsid w:val="7E3A27D9"/>
    <w:rsid w:val="7E3B0491"/>
    <w:rsid w:val="7E3E6FF7"/>
    <w:rsid w:val="7E4145E0"/>
    <w:rsid w:val="7E4E46D3"/>
    <w:rsid w:val="7E505BFE"/>
    <w:rsid w:val="7E5D1DFB"/>
    <w:rsid w:val="7E615519"/>
    <w:rsid w:val="7E747ED7"/>
    <w:rsid w:val="7E8548DA"/>
    <w:rsid w:val="7E906EED"/>
    <w:rsid w:val="7E9147B9"/>
    <w:rsid w:val="7E963F11"/>
    <w:rsid w:val="7E9F61CC"/>
    <w:rsid w:val="7EA52844"/>
    <w:rsid w:val="7EA87894"/>
    <w:rsid w:val="7EAA7A04"/>
    <w:rsid w:val="7EB60168"/>
    <w:rsid w:val="7EBC4CAC"/>
    <w:rsid w:val="7EBC784D"/>
    <w:rsid w:val="7EC87E8B"/>
    <w:rsid w:val="7ECC5631"/>
    <w:rsid w:val="7ED30377"/>
    <w:rsid w:val="7ED94BBB"/>
    <w:rsid w:val="7EDC1547"/>
    <w:rsid w:val="7EDC280E"/>
    <w:rsid w:val="7EE50351"/>
    <w:rsid w:val="7EEA6A0F"/>
    <w:rsid w:val="7EF02F3D"/>
    <w:rsid w:val="7EF90044"/>
    <w:rsid w:val="7EFA0D76"/>
    <w:rsid w:val="7EFD2CD8"/>
    <w:rsid w:val="7EFF0079"/>
    <w:rsid w:val="7F10538E"/>
    <w:rsid w:val="7F345520"/>
    <w:rsid w:val="7F3823E3"/>
    <w:rsid w:val="7F4C1DFC"/>
    <w:rsid w:val="7F6A4AA9"/>
    <w:rsid w:val="7F6C2A94"/>
    <w:rsid w:val="7F7D2A23"/>
    <w:rsid w:val="7F8406B3"/>
    <w:rsid w:val="7F993AE5"/>
    <w:rsid w:val="7F9D09AB"/>
    <w:rsid w:val="7F9D12F9"/>
    <w:rsid w:val="7FAE7080"/>
    <w:rsid w:val="7FB84C03"/>
    <w:rsid w:val="7FBB0F27"/>
    <w:rsid w:val="7FE224FE"/>
    <w:rsid w:val="7FF8654D"/>
    <w:rsid w:val="7FFA00C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qFormat="1" w:unhideWhenUsed="0" w:uiPriority="0" w:semiHidden="0"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iPriority="99"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nhideWhenUsed="0" w:uiPriority="99" w:semiHidden="0" w:name="HTML Definition"/>
    <w:lsdException w:uiPriority="99" w:name="HTML Keyboard"/>
    <w:lsdException w:qFormat="1" w:unhideWhenUsed="0" w:uiPriority="99" w:semiHidden="0" w:name="HTML Preformatted"/>
    <w:lsdException w:uiPriority="99" w:name="HTML Sample"/>
    <w:lsdException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6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70"/>
    <w:qFormat/>
    <w:uiPriority w:val="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71"/>
    <w:qFormat/>
    <w:uiPriority w:val="9"/>
    <w:pPr>
      <w:keepNext/>
      <w:keepLines/>
      <w:spacing w:before="260" w:after="260" w:line="416" w:lineRule="auto"/>
      <w:outlineLvl w:val="2"/>
    </w:pPr>
    <w:rPr>
      <w:b/>
      <w:bCs/>
      <w:sz w:val="32"/>
      <w:szCs w:val="32"/>
    </w:rPr>
  </w:style>
  <w:style w:type="paragraph" w:styleId="5">
    <w:name w:val="heading 4"/>
    <w:basedOn w:val="1"/>
    <w:next w:val="1"/>
    <w:link w:val="72"/>
    <w:qFormat/>
    <w:uiPriority w:val="9"/>
    <w:pPr>
      <w:keepNext/>
      <w:keepLines/>
      <w:spacing w:before="280" w:after="290" w:line="376" w:lineRule="auto"/>
      <w:outlineLvl w:val="3"/>
    </w:pPr>
    <w:rPr>
      <w:rFonts w:ascii="Arial" w:hAnsi="Arial" w:eastAsia="黑体" w:cs="Arial"/>
      <w:b/>
      <w:bCs/>
      <w:sz w:val="28"/>
      <w:szCs w:val="28"/>
    </w:rPr>
  </w:style>
  <w:style w:type="paragraph" w:styleId="6">
    <w:name w:val="heading 5"/>
    <w:basedOn w:val="1"/>
    <w:next w:val="1"/>
    <w:link w:val="73"/>
    <w:qFormat/>
    <w:uiPriority w:val="9"/>
    <w:pPr>
      <w:keepNext/>
      <w:keepLines/>
      <w:spacing w:before="280" w:after="290" w:line="376" w:lineRule="auto"/>
      <w:outlineLvl w:val="4"/>
    </w:pPr>
    <w:rPr>
      <w:b/>
      <w:bCs/>
      <w:sz w:val="28"/>
      <w:szCs w:val="28"/>
    </w:rPr>
  </w:style>
  <w:style w:type="paragraph" w:styleId="7">
    <w:name w:val="heading 6"/>
    <w:basedOn w:val="1"/>
    <w:next w:val="1"/>
    <w:link w:val="74"/>
    <w:qFormat/>
    <w:uiPriority w:val="9"/>
    <w:pPr>
      <w:keepNext/>
      <w:keepLines/>
      <w:widowControl/>
      <w:tabs>
        <w:tab w:val="left" w:pos="1440"/>
      </w:tabs>
      <w:spacing w:before="240" w:after="64" w:line="320" w:lineRule="auto"/>
      <w:ind w:left="1152" w:hanging="1152"/>
      <w:jc w:val="left"/>
      <w:outlineLvl w:val="5"/>
    </w:pPr>
    <w:rPr>
      <w:rFonts w:ascii="Arial" w:hAnsi="Arial" w:eastAsia="黑体" w:cs="Arial"/>
      <w:b/>
      <w:bCs/>
      <w:kern w:val="0"/>
      <w:sz w:val="24"/>
      <w:szCs w:val="24"/>
    </w:rPr>
  </w:style>
  <w:style w:type="paragraph" w:styleId="8">
    <w:name w:val="heading 7"/>
    <w:basedOn w:val="1"/>
    <w:next w:val="1"/>
    <w:link w:val="75"/>
    <w:qFormat/>
    <w:uiPriority w:val="9"/>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9">
    <w:name w:val="heading 8"/>
    <w:basedOn w:val="1"/>
    <w:next w:val="1"/>
    <w:link w:val="76"/>
    <w:qFormat/>
    <w:uiPriority w:val="9"/>
    <w:pPr>
      <w:keepNext/>
      <w:keepLines/>
      <w:widowControl/>
      <w:tabs>
        <w:tab w:val="left" w:pos="1440"/>
      </w:tabs>
      <w:spacing w:before="240" w:after="64" w:line="320" w:lineRule="auto"/>
      <w:ind w:left="1440" w:hanging="1440"/>
      <w:jc w:val="left"/>
      <w:outlineLvl w:val="7"/>
    </w:pPr>
    <w:rPr>
      <w:rFonts w:ascii="Arial" w:hAnsi="Arial" w:eastAsia="黑体" w:cs="Arial"/>
      <w:kern w:val="0"/>
      <w:sz w:val="24"/>
      <w:szCs w:val="24"/>
    </w:rPr>
  </w:style>
  <w:style w:type="paragraph" w:styleId="10">
    <w:name w:val="heading 9"/>
    <w:basedOn w:val="1"/>
    <w:next w:val="1"/>
    <w:link w:val="77"/>
    <w:qFormat/>
    <w:uiPriority w:val="9"/>
    <w:pPr>
      <w:keepNext/>
      <w:keepLines/>
      <w:widowControl/>
      <w:tabs>
        <w:tab w:val="left" w:pos="1584"/>
      </w:tabs>
      <w:spacing w:before="240" w:after="64" w:line="320" w:lineRule="auto"/>
      <w:ind w:left="1584" w:hanging="1584"/>
      <w:jc w:val="left"/>
      <w:outlineLvl w:val="8"/>
    </w:pPr>
    <w:rPr>
      <w:rFonts w:ascii="Arial" w:hAnsi="Arial" w:eastAsia="黑体" w:cs="Arial"/>
      <w:kern w:val="0"/>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99"/>
    <w:pPr>
      <w:ind w:left="2520" w:leftChars="1200"/>
    </w:pPr>
  </w:style>
  <w:style w:type="paragraph" w:styleId="12">
    <w:name w:val="List Bullet 4"/>
    <w:basedOn w:val="1"/>
    <w:qFormat/>
    <w:uiPriority w:val="99"/>
    <w:pPr>
      <w:tabs>
        <w:tab w:val="left" w:pos="1620"/>
      </w:tabs>
      <w:ind w:left="1620" w:leftChars="600" w:hanging="360" w:hangingChars="200"/>
    </w:pPr>
  </w:style>
  <w:style w:type="paragraph" w:styleId="13">
    <w:name w:val="Normal Indent"/>
    <w:basedOn w:val="1"/>
    <w:link w:val="97"/>
    <w:qFormat/>
    <w:uiPriority w:val="99"/>
    <w:pPr>
      <w:ind w:firstLine="420" w:firstLineChars="200"/>
    </w:pPr>
  </w:style>
  <w:style w:type="paragraph" w:styleId="14">
    <w:name w:val="caption"/>
    <w:basedOn w:val="1"/>
    <w:next w:val="1"/>
    <w:qFormat/>
    <w:uiPriority w:val="35"/>
    <w:pPr>
      <w:keepNext/>
      <w:adjustRightInd w:val="0"/>
      <w:snapToGrid w:val="0"/>
      <w:spacing w:after="120"/>
      <w:jc w:val="center"/>
    </w:pPr>
    <w:rPr>
      <w:rFonts w:ascii="Arial" w:hAnsi="Arial" w:eastAsia="黑体" w:cs="Arial"/>
      <w:sz w:val="20"/>
      <w:szCs w:val="20"/>
    </w:rPr>
  </w:style>
  <w:style w:type="paragraph" w:styleId="15">
    <w:name w:val="List Bullet"/>
    <w:basedOn w:val="1"/>
    <w:qFormat/>
    <w:uiPriority w:val="99"/>
    <w:pPr>
      <w:tabs>
        <w:tab w:val="left" w:pos="360"/>
      </w:tabs>
      <w:ind w:left="360" w:hanging="360" w:hangingChars="200"/>
    </w:pPr>
  </w:style>
  <w:style w:type="paragraph" w:styleId="16">
    <w:name w:val="Document Map"/>
    <w:basedOn w:val="1"/>
    <w:link w:val="81"/>
    <w:semiHidden/>
    <w:qFormat/>
    <w:uiPriority w:val="99"/>
    <w:pPr>
      <w:shd w:val="clear" w:color="auto" w:fill="000080"/>
    </w:pPr>
  </w:style>
  <w:style w:type="paragraph" w:styleId="17">
    <w:name w:val="annotation text"/>
    <w:basedOn w:val="1"/>
    <w:link w:val="78"/>
    <w:semiHidden/>
    <w:qFormat/>
    <w:uiPriority w:val="99"/>
    <w:pPr>
      <w:jc w:val="left"/>
    </w:pPr>
  </w:style>
  <w:style w:type="paragraph" w:styleId="18">
    <w:name w:val="Body Text 3"/>
    <w:basedOn w:val="1"/>
    <w:link w:val="82"/>
    <w:qFormat/>
    <w:uiPriority w:val="99"/>
    <w:rPr>
      <w:rFonts w:ascii="宋体" w:cs="宋体"/>
      <w:sz w:val="24"/>
      <w:szCs w:val="24"/>
    </w:rPr>
  </w:style>
  <w:style w:type="paragraph" w:styleId="19">
    <w:name w:val="List Bullet 3"/>
    <w:basedOn w:val="1"/>
    <w:qFormat/>
    <w:uiPriority w:val="99"/>
    <w:pPr>
      <w:tabs>
        <w:tab w:val="left" w:pos="1200"/>
      </w:tabs>
      <w:ind w:left="1200" w:leftChars="400" w:hanging="360" w:hangingChars="200"/>
    </w:pPr>
  </w:style>
  <w:style w:type="paragraph" w:styleId="20">
    <w:name w:val="Body Text"/>
    <w:basedOn w:val="1"/>
    <w:next w:val="1"/>
    <w:link w:val="83"/>
    <w:qFormat/>
    <w:uiPriority w:val="0"/>
    <w:pPr>
      <w:spacing w:after="120"/>
    </w:pPr>
  </w:style>
  <w:style w:type="paragraph" w:styleId="21">
    <w:name w:val="Body Text Indent"/>
    <w:basedOn w:val="1"/>
    <w:next w:val="22"/>
    <w:link w:val="84"/>
    <w:qFormat/>
    <w:uiPriority w:val="99"/>
    <w:pPr>
      <w:spacing w:after="120"/>
      <w:ind w:left="420" w:leftChars="200"/>
    </w:pPr>
  </w:style>
  <w:style w:type="paragraph" w:styleId="22">
    <w:name w:val="envelope return"/>
    <w:basedOn w:val="1"/>
    <w:qFormat/>
    <w:uiPriority w:val="0"/>
    <w:pPr>
      <w:snapToGrid w:val="0"/>
    </w:pPr>
    <w:rPr>
      <w:rFonts w:ascii="Arial" w:hAnsi="Arial"/>
    </w:rPr>
  </w:style>
  <w:style w:type="paragraph" w:styleId="23">
    <w:name w:val="Block Text"/>
    <w:basedOn w:val="1"/>
    <w:qFormat/>
    <w:uiPriority w:val="99"/>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4">
    <w:name w:val="List Bullet 2"/>
    <w:basedOn w:val="1"/>
    <w:qFormat/>
    <w:uiPriority w:val="99"/>
    <w:pPr>
      <w:tabs>
        <w:tab w:val="left" w:pos="780"/>
      </w:tabs>
      <w:ind w:left="780" w:leftChars="200" w:hanging="360" w:hangingChars="200"/>
    </w:pPr>
  </w:style>
  <w:style w:type="paragraph" w:styleId="25">
    <w:name w:val="toc 5"/>
    <w:basedOn w:val="1"/>
    <w:next w:val="1"/>
    <w:semiHidden/>
    <w:qFormat/>
    <w:uiPriority w:val="99"/>
    <w:pPr>
      <w:ind w:left="1680" w:leftChars="800"/>
    </w:pPr>
  </w:style>
  <w:style w:type="paragraph" w:styleId="26">
    <w:name w:val="toc 3"/>
    <w:basedOn w:val="1"/>
    <w:next w:val="1"/>
    <w:semiHidden/>
    <w:qFormat/>
    <w:uiPriority w:val="99"/>
    <w:pPr>
      <w:ind w:left="840" w:leftChars="400"/>
    </w:pPr>
  </w:style>
  <w:style w:type="paragraph" w:styleId="27">
    <w:name w:val="Plain Text"/>
    <w:basedOn w:val="1"/>
    <w:link w:val="85"/>
    <w:qFormat/>
    <w:uiPriority w:val="0"/>
    <w:pPr>
      <w:spacing w:line="360" w:lineRule="auto"/>
    </w:pPr>
    <w:rPr>
      <w:rFonts w:ascii="宋体" w:hAnsi="Courier New" w:cs="宋体"/>
      <w:sz w:val="24"/>
      <w:szCs w:val="24"/>
    </w:rPr>
  </w:style>
  <w:style w:type="paragraph" w:styleId="28">
    <w:name w:val="List Bullet 5"/>
    <w:basedOn w:val="1"/>
    <w:qFormat/>
    <w:uiPriority w:val="99"/>
    <w:pPr>
      <w:tabs>
        <w:tab w:val="left" w:pos="2040"/>
      </w:tabs>
      <w:ind w:left="2040" w:leftChars="800" w:hanging="360" w:hangingChars="200"/>
    </w:pPr>
  </w:style>
  <w:style w:type="paragraph" w:styleId="29">
    <w:name w:val="toc 8"/>
    <w:basedOn w:val="1"/>
    <w:next w:val="1"/>
    <w:semiHidden/>
    <w:qFormat/>
    <w:uiPriority w:val="99"/>
    <w:pPr>
      <w:spacing w:beforeLines="50" w:afterLines="50"/>
      <w:jc w:val="center"/>
    </w:pPr>
    <w:rPr>
      <w:rFonts w:eastAsia="黑体"/>
      <w:sz w:val="36"/>
      <w:szCs w:val="36"/>
    </w:rPr>
  </w:style>
  <w:style w:type="paragraph" w:styleId="30">
    <w:name w:val="Date"/>
    <w:basedOn w:val="1"/>
    <w:next w:val="1"/>
    <w:link w:val="86"/>
    <w:qFormat/>
    <w:uiPriority w:val="99"/>
    <w:rPr>
      <w:sz w:val="24"/>
      <w:szCs w:val="24"/>
    </w:rPr>
  </w:style>
  <w:style w:type="paragraph" w:styleId="31">
    <w:name w:val="Body Text Indent 2"/>
    <w:basedOn w:val="1"/>
    <w:link w:val="87"/>
    <w:qFormat/>
    <w:uiPriority w:val="99"/>
    <w:pPr>
      <w:spacing w:after="120" w:line="480" w:lineRule="auto"/>
      <w:ind w:left="420" w:leftChars="200"/>
    </w:pPr>
  </w:style>
  <w:style w:type="paragraph" w:styleId="32">
    <w:name w:val="endnote text"/>
    <w:basedOn w:val="1"/>
    <w:link w:val="286"/>
    <w:semiHidden/>
    <w:unhideWhenUsed/>
    <w:qFormat/>
    <w:uiPriority w:val="99"/>
    <w:pPr>
      <w:snapToGrid w:val="0"/>
      <w:jc w:val="left"/>
    </w:pPr>
  </w:style>
  <w:style w:type="paragraph" w:styleId="33">
    <w:name w:val="Balloon Text"/>
    <w:basedOn w:val="1"/>
    <w:link w:val="88"/>
    <w:semiHidden/>
    <w:qFormat/>
    <w:uiPriority w:val="99"/>
    <w:rPr>
      <w:sz w:val="18"/>
      <w:szCs w:val="18"/>
    </w:rPr>
  </w:style>
  <w:style w:type="paragraph" w:styleId="34">
    <w:name w:val="footer"/>
    <w:basedOn w:val="1"/>
    <w:link w:val="89"/>
    <w:qFormat/>
    <w:uiPriority w:val="0"/>
    <w:pPr>
      <w:tabs>
        <w:tab w:val="center" w:pos="4153"/>
        <w:tab w:val="right" w:pos="8306"/>
      </w:tabs>
      <w:snapToGrid w:val="0"/>
      <w:jc w:val="left"/>
    </w:pPr>
    <w:rPr>
      <w:sz w:val="18"/>
      <w:szCs w:val="18"/>
    </w:rPr>
  </w:style>
  <w:style w:type="paragraph" w:styleId="35">
    <w:name w:val="header"/>
    <w:basedOn w:val="1"/>
    <w:link w:val="90"/>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semiHidden/>
    <w:qFormat/>
    <w:uiPriority w:val="99"/>
    <w:pPr>
      <w:spacing w:line="440" w:lineRule="exact"/>
      <w:jc w:val="center"/>
    </w:pPr>
  </w:style>
  <w:style w:type="paragraph" w:styleId="37">
    <w:name w:val="toc 4"/>
    <w:basedOn w:val="1"/>
    <w:next w:val="1"/>
    <w:semiHidden/>
    <w:qFormat/>
    <w:uiPriority w:val="99"/>
    <w:pPr>
      <w:ind w:left="1260" w:leftChars="600"/>
    </w:pPr>
  </w:style>
  <w:style w:type="paragraph" w:styleId="38">
    <w:name w:val="Subtitle"/>
    <w:basedOn w:val="1"/>
    <w:next w:val="1"/>
    <w:link w:val="271"/>
    <w:qFormat/>
    <w:uiPriority w:val="11"/>
    <w:pPr>
      <w:spacing w:before="240" w:after="60" w:line="312" w:lineRule="auto"/>
      <w:jc w:val="center"/>
      <w:outlineLvl w:val="1"/>
    </w:pPr>
    <w:rPr>
      <w:rFonts w:ascii="Tw Cen MT" w:hAnsi="Tw Cen MT" w:eastAsia="华文仿宋"/>
      <w:i/>
      <w:iCs/>
      <w:spacing w:val="13"/>
      <w:kern w:val="0"/>
      <w:sz w:val="24"/>
      <w:szCs w:val="24"/>
    </w:rPr>
  </w:style>
  <w:style w:type="paragraph" w:styleId="39">
    <w:name w:val="List"/>
    <w:basedOn w:val="1"/>
    <w:qFormat/>
    <w:uiPriority w:val="99"/>
    <w:pPr>
      <w:ind w:left="200" w:hanging="200" w:hangingChars="200"/>
    </w:pPr>
  </w:style>
  <w:style w:type="paragraph" w:styleId="40">
    <w:name w:val="footnote text"/>
    <w:basedOn w:val="1"/>
    <w:link w:val="80"/>
    <w:semiHidden/>
    <w:qFormat/>
    <w:uiPriority w:val="99"/>
    <w:pPr>
      <w:snapToGrid w:val="0"/>
      <w:jc w:val="left"/>
    </w:pPr>
    <w:rPr>
      <w:sz w:val="18"/>
      <w:szCs w:val="18"/>
    </w:rPr>
  </w:style>
  <w:style w:type="paragraph" w:styleId="41">
    <w:name w:val="toc 6"/>
    <w:basedOn w:val="1"/>
    <w:next w:val="1"/>
    <w:semiHidden/>
    <w:qFormat/>
    <w:uiPriority w:val="99"/>
    <w:pPr>
      <w:ind w:left="2100" w:leftChars="1000"/>
    </w:pPr>
  </w:style>
  <w:style w:type="paragraph" w:styleId="42">
    <w:name w:val="Body Text Indent 3"/>
    <w:basedOn w:val="1"/>
    <w:link w:val="91"/>
    <w:qFormat/>
    <w:uiPriority w:val="99"/>
    <w:pPr>
      <w:spacing w:after="120"/>
      <w:ind w:left="420" w:leftChars="200"/>
    </w:pPr>
    <w:rPr>
      <w:sz w:val="16"/>
      <w:szCs w:val="16"/>
    </w:rPr>
  </w:style>
  <w:style w:type="paragraph" w:styleId="43">
    <w:name w:val="toc 2"/>
    <w:basedOn w:val="1"/>
    <w:next w:val="1"/>
    <w:semiHidden/>
    <w:qFormat/>
    <w:uiPriority w:val="99"/>
    <w:pPr>
      <w:ind w:left="420" w:leftChars="200"/>
    </w:pPr>
  </w:style>
  <w:style w:type="paragraph" w:styleId="44">
    <w:name w:val="toc 9"/>
    <w:basedOn w:val="1"/>
    <w:next w:val="1"/>
    <w:semiHidden/>
    <w:qFormat/>
    <w:uiPriority w:val="99"/>
    <w:pPr>
      <w:ind w:left="3360" w:leftChars="1600"/>
    </w:pPr>
  </w:style>
  <w:style w:type="paragraph" w:styleId="45">
    <w:name w:val="Body Text 2"/>
    <w:basedOn w:val="1"/>
    <w:link w:val="92"/>
    <w:qFormat/>
    <w:uiPriority w:val="99"/>
    <w:pPr>
      <w:spacing w:after="120" w:line="480" w:lineRule="auto"/>
    </w:pPr>
  </w:style>
  <w:style w:type="paragraph" w:styleId="46">
    <w:name w:val="HTML Preformatted"/>
    <w:basedOn w:val="1"/>
    <w:link w:val="9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黑体"/>
      <w:kern w:val="0"/>
      <w:sz w:val="20"/>
      <w:szCs w:val="20"/>
    </w:rPr>
  </w:style>
  <w:style w:type="paragraph" w:styleId="47">
    <w:name w:val="Normal (Web)"/>
    <w:basedOn w:val="1"/>
    <w:next w:val="1"/>
    <w:qFormat/>
    <w:uiPriority w:val="99"/>
    <w:pPr>
      <w:widowControl/>
      <w:spacing w:before="100" w:beforeAutospacing="1" w:after="100" w:afterAutospacing="1"/>
      <w:jc w:val="left"/>
    </w:pPr>
    <w:rPr>
      <w:rFonts w:ascii="宋体" w:hAnsi="宋体" w:cs="宋体"/>
      <w:kern w:val="0"/>
      <w:sz w:val="24"/>
      <w:szCs w:val="24"/>
    </w:rPr>
  </w:style>
  <w:style w:type="paragraph" w:styleId="48">
    <w:name w:val="index 1"/>
    <w:basedOn w:val="1"/>
    <w:next w:val="1"/>
    <w:semiHidden/>
    <w:qFormat/>
    <w:uiPriority w:val="99"/>
    <w:pPr>
      <w:spacing w:line="220" w:lineRule="exact"/>
      <w:jc w:val="center"/>
    </w:pPr>
    <w:rPr>
      <w:rFonts w:ascii="仿宋_GB2312" w:eastAsia="仿宋_GB2312" w:cs="仿宋_GB2312"/>
    </w:rPr>
  </w:style>
  <w:style w:type="paragraph" w:styleId="49">
    <w:name w:val="Title"/>
    <w:basedOn w:val="1"/>
    <w:next w:val="1"/>
    <w:link w:val="94"/>
    <w:qFormat/>
    <w:uiPriority w:val="10"/>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50">
    <w:name w:val="annotation subject"/>
    <w:basedOn w:val="17"/>
    <w:next w:val="17"/>
    <w:link w:val="79"/>
    <w:semiHidden/>
    <w:qFormat/>
    <w:uiPriority w:val="99"/>
    <w:rPr>
      <w:b/>
      <w:bCs/>
    </w:rPr>
  </w:style>
  <w:style w:type="paragraph" w:styleId="51">
    <w:name w:val="Body Text First Indent 2"/>
    <w:basedOn w:val="21"/>
    <w:unhideWhenUsed/>
    <w:qFormat/>
    <w:uiPriority w:val="99"/>
    <w:pPr>
      <w:ind w:firstLine="420" w:firstLineChars="200"/>
    </w:pPr>
  </w:style>
  <w:style w:type="table" w:styleId="53">
    <w:name w:val="Table Grid"/>
    <w:basedOn w:val="5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22"/>
    <w:rPr>
      <w:b/>
      <w:bCs/>
    </w:rPr>
  </w:style>
  <w:style w:type="character" w:styleId="56">
    <w:name w:val="endnote reference"/>
    <w:basedOn w:val="54"/>
    <w:semiHidden/>
    <w:unhideWhenUsed/>
    <w:qFormat/>
    <w:uiPriority w:val="99"/>
    <w:rPr>
      <w:vertAlign w:val="superscript"/>
    </w:rPr>
  </w:style>
  <w:style w:type="character" w:styleId="57">
    <w:name w:val="page number"/>
    <w:basedOn w:val="54"/>
    <w:qFormat/>
    <w:uiPriority w:val="99"/>
  </w:style>
  <w:style w:type="character" w:styleId="58">
    <w:name w:val="FollowedHyperlink"/>
    <w:basedOn w:val="54"/>
    <w:qFormat/>
    <w:uiPriority w:val="99"/>
    <w:rPr>
      <w:color w:val="999999"/>
      <w:u w:val="none"/>
    </w:rPr>
  </w:style>
  <w:style w:type="character" w:styleId="59">
    <w:name w:val="Emphasis"/>
    <w:qFormat/>
    <w:uiPriority w:val="20"/>
    <w:rPr>
      <w:color w:val="auto"/>
    </w:rPr>
  </w:style>
  <w:style w:type="character" w:styleId="60">
    <w:name w:val="HTML Definition"/>
    <w:basedOn w:val="54"/>
    <w:qFormat/>
    <w:uiPriority w:val="99"/>
  </w:style>
  <w:style w:type="character" w:styleId="61">
    <w:name w:val="HTML Acronym"/>
    <w:basedOn w:val="54"/>
    <w:semiHidden/>
    <w:unhideWhenUsed/>
    <w:qFormat/>
    <w:uiPriority w:val="99"/>
  </w:style>
  <w:style w:type="character" w:styleId="62">
    <w:name w:val="HTML Variable"/>
    <w:basedOn w:val="54"/>
    <w:semiHidden/>
    <w:unhideWhenUsed/>
    <w:qFormat/>
    <w:uiPriority w:val="99"/>
  </w:style>
  <w:style w:type="character" w:styleId="63">
    <w:name w:val="Hyperlink"/>
    <w:basedOn w:val="54"/>
    <w:qFormat/>
    <w:uiPriority w:val="99"/>
    <w:rPr>
      <w:color w:val="999999"/>
      <w:u w:val="none"/>
    </w:rPr>
  </w:style>
  <w:style w:type="character" w:styleId="64">
    <w:name w:val="HTML Code"/>
    <w:basedOn w:val="54"/>
    <w:semiHidden/>
    <w:unhideWhenUsed/>
    <w:qFormat/>
    <w:uiPriority w:val="99"/>
    <w:rPr>
      <w:rFonts w:ascii="Courier New" w:hAnsi="Courier New"/>
      <w:sz w:val="20"/>
    </w:rPr>
  </w:style>
  <w:style w:type="character" w:styleId="65">
    <w:name w:val="annotation reference"/>
    <w:semiHidden/>
    <w:qFormat/>
    <w:uiPriority w:val="99"/>
    <w:rPr>
      <w:sz w:val="21"/>
      <w:szCs w:val="21"/>
    </w:rPr>
  </w:style>
  <w:style w:type="character" w:styleId="66">
    <w:name w:val="HTML Cite"/>
    <w:basedOn w:val="54"/>
    <w:semiHidden/>
    <w:unhideWhenUsed/>
    <w:qFormat/>
    <w:uiPriority w:val="99"/>
    <w:rPr>
      <w:color w:val="008000"/>
    </w:rPr>
  </w:style>
  <w:style w:type="character" w:styleId="67">
    <w:name w:val="footnote reference"/>
    <w:semiHidden/>
    <w:qFormat/>
    <w:uiPriority w:val="99"/>
    <w:rPr>
      <w:vertAlign w:val="superscript"/>
    </w:rPr>
  </w:style>
  <w:style w:type="paragraph" w:customStyle="1" w:styleId="68">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9">
    <w:name w:val="标题 1 字符"/>
    <w:link w:val="2"/>
    <w:qFormat/>
    <w:uiPriority w:val="9"/>
    <w:rPr>
      <w:rFonts w:eastAsia="宋体"/>
      <w:b/>
      <w:bCs/>
      <w:kern w:val="44"/>
      <w:sz w:val="44"/>
      <w:szCs w:val="44"/>
      <w:lang w:val="en-US" w:eastAsia="zh-CN"/>
    </w:rPr>
  </w:style>
  <w:style w:type="character" w:customStyle="1" w:styleId="70">
    <w:name w:val="标题 2 字符"/>
    <w:link w:val="3"/>
    <w:qFormat/>
    <w:uiPriority w:val="9"/>
    <w:rPr>
      <w:rFonts w:ascii="Arial" w:hAnsi="Arial" w:eastAsia="黑体" w:cs="Arial"/>
      <w:b/>
      <w:bCs/>
      <w:kern w:val="2"/>
      <w:sz w:val="32"/>
      <w:szCs w:val="32"/>
      <w:lang w:val="en-US" w:eastAsia="zh-CN"/>
    </w:rPr>
  </w:style>
  <w:style w:type="character" w:customStyle="1" w:styleId="71">
    <w:name w:val="标题 3 字符"/>
    <w:link w:val="4"/>
    <w:qFormat/>
    <w:uiPriority w:val="9"/>
    <w:rPr>
      <w:rFonts w:eastAsia="宋体"/>
      <w:b/>
      <w:bCs/>
      <w:kern w:val="2"/>
      <w:sz w:val="32"/>
      <w:szCs w:val="32"/>
      <w:lang w:val="en-US" w:eastAsia="zh-CN"/>
    </w:rPr>
  </w:style>
  <w:style w:type="character" w:customStyle="1" w:styleId="72">
    <w:name w:val="标题 4 字符"/>
    <w:link w:val="5"/>
    <w:qFormat/>
    <w:uiPriority w:val="9"/>
    <w:rPr>
      <w:rFonts w:ascii="Arial" w:hAnsi="Arial" w:eastAsia="黑体" w:cs="Arial"/>
      <w:b/>
      <w:bCs/>
      <w:kern w:val="2"/>
      <w:sz w:val="28"/>
      <w:szCs w:val="28"/>
      <w:lang w:val="en-US" w:eastAsia="zh-CN"/>
    </w:rPr>
  </w:style>
  <w:style w:type="character" w:customStyle="1" w:styleId="73">
    <w:name w:val="标题 5 字符"/>
    <w:link w:val="6"/>
    <w:qFormat/>
    <w:uiPriority w:val="9"/>
    <w:rPr>
      <w:rFonts w:eastAsia="宋体"/>
      <w:b/>
      <w:bCs/>
      <w:kern w:val="2"/>
      <w:sz w:val="28"/>
      <w:szCs w:val="28"/>
      <w:lang w:val="en-US" w:eastAsia="zh-CN"/>
    </w:rPr>
  </w:style>
  <w:style w:type="character" w:customStyle="1" w:styleId="74">
    <w:name w:val="标题 6 字符"/>
    <w:link w:val="7"/>
    <w:qFormat/>
    <w:uiPriority w:val="9"/>
    <w:rPr>
      <w:rFonts w:ascii="Arial" w:hAnsi="Arial" w:eastAsia="黑体" w:cs="Arial"/>
      <w:b/>
      <w:bCs/>
      <w:sz w:val="24"/>
      <w:szCs w:val="24"/>
      <w:lang w:val="en-US" w:eastAsia="zh-CN"/>
    </w:rPr>
  </w:style>
  <w:style w:type="character" w:customStyle="1" w:styleId="75">
    <w:name w:val="标题 7 字符"/>
    <w:link w:val="8"/>
    <w:qFormat/>
    <w:uiPriority w:val="9"/>
    <w:rPr>
      <w:rFonts w:eastAsia="宋体"/>
      <w:b/>
      <w:bCs/>
      <w:sz w:val="24"/>
      <w:szCs w:val="24"/>
      <w:lang w:val="en-US" w:eastAsia="zh-CN"/>
    </w:rPr>
  </w:style>
  <w:style w:type="character" w:customStyle="1" w:styleId="76">
    <w:name w:val="标题 8 字符"/>
    <w:link w:val="9"/>
    <w:qFormat/>
    <w:uiPriority w:val="9"/>
    <w:rPr>
      <w:rFonts w:ascii="Arial" w:hAnsi="Arial" w:eastAsia="黑体" w:cs="Arial"/>
      <w:sz w:val="24"/>
      <w:szCs w:val="24"/>
      <w:lang w:val="en-US" w:eastAsia="zh-CN"/>
    </w:rPr>
  </w:style>
  <w:style w:type="character" w:customStyle="1" w:styleId="77">
    <w:name w:val="标题 9 字符"/>
    <w:link w:val="10"/>
    <w:semiHidden/>
    <w:qFormat/>
    <w:uiPriority w:val="9"/>
    <w:rPr>
      <w:rFonts w:ascii="Cambria" w:hAnsi="Cambria" w:eastAsia="宋体" w:cs="Cambria"/>
      <w:sz w:val="21"/>
      <w:szCs w:val="21"/>
    </w:rPr>
  </w:style>
  <w:style w:type="character" w:customStyle="1" w:styleId="78">
    <w:name w:val="批注文字 字符"/>
    <w:link w:val="17"/>
    <w:semiHidden/>
    <w:qFormat/>
    <w:uiPriority w:val="99"/>
    <w:rPr>
      <w:sz w:val="24"/>
      <w:szCs w:val="24"/>
    </w:rPr>
  </w:style>
  <w:style w:type="character" w:customStyle="1" w:styleId="79">
    <w:name w:val="批注主题 字符"/>
    <w:link w:val="50"/>
    <w:qFormat/>
    <w:uiPriority w:val="0"/>
    <w:rPr>
      <w:rFonts w:eastAsia="宋体"/>
      <w:b/>
      <w:bCs/>
      <w:kern w:val="2"/>
      <w:sz w:val="24"/>
      <w:szCs w:val="24"/>
      <w:lang w:val="en-US" w:eastAsia="zh-CN"/>
    </w:rPr>
  </w:style>
  <w:style w:type="character" w:customStyle="1" w:styleId="80">
    <w:name w:val="脚注文本 字符"/>
    <w:link w:val="40"/>
    <w:semiHidden/>
    <w:qFormat/>
    <w:uiPriority w:val="99"/>
    <w:rPr>
      <w:rFonts w:eastAsia="宋体"/>
      <w:kern w:val="2"/>
      <w:sz w:val="18"/>
      <w:szCs w:val="18"/>
      <w:lang w:val="en-US" w:eastAsia="zh-CN"/>
    </w:rPr>
  </w:style>
  <w:style w:type="character" w:customStyle="1" w:styleId="81">
    <w:name w:val="文档结构图 字符"/>
    <w:link w:val="16"/>
    <w:semiHidden/>
    <w:qFormat/>
    <w:uiPriority w:val="99"/>
    <w:rPr>
      <w:rFonts w:eastAsia="宋体"/>
      <w:kern w:val="2"/>
      <w:sz w:val="24"/>
      <w:szCs w:val="24"/>
      <w:lang w:val="en-US" w:eastAsia="zh-CN"/>
    </w:rPr>
  </w:style>
  <w:style w:type="character" w:customStyle="1" w:styleId="82">
    <w:name w:val="正文文本 3 字符"/>
    <w:link w:val="18"/>
    <w:qFormat/>
    <w:uiPriority w:val="99"/>
    <w:rPr>
      <w:rFonts w:ascii="宋体" w:eastAsia="宋体" w:cs="宋体"/>
      <w:kern w:val="2"/>
      <w:sz w:val="24"/>
      <w:szCs w:val="24"/>
      <w:lang w:val="en-US" w:eastAsia="zh-CN"/>
    </w:rPr>
  </w:style>
  <w:style w:type="character" w:customStyle="1" w:styleId="83">
    <w:name w:val="正文文本 字符"/>
    <w:link w:val="20"/>
    <w:qFormat/>
    <w:uiPriority w:val="0"/>
    <w:rPr>
      <w:sz w:val="24"/>
      <w:szCs w:val="24"/>
    </w:rPr>
  </w:style>
  <w:style w:type="character" w:customStyle="1" w:styleId="84">
    <w:name w:val="正文文本缩进 字符"/>
    <w:link w:val="21"/>
    <w:qFormat/>
    <w:uiPriority w:val="99"/>
    <w:rPr>
      <w:rFonts w:eastAsia="宋体"/>
      <w:kern w:val="2"/>
      <w:sz w:val="24"/>
      <w:szCs w:val="24"/>
      <w:lang w:val="en-US" w:eastAsia="zh-CN"/>
    </w:rPr>
  </w:style>
  <w:style w:type="character" w:customStyle="1" w:styleId="85">
    <w:name w:val="纯文本 字符"/>
    <w:link w:val="27"/>
    <w:qFormat/>
    <w:uiPriority w:val="99"/>
    <w:rPr>
      <w:rFonts w:ascii="宋体" w:hAnsi="Courier New" w:eastAsia="宋体" w:cs="宋体"/>
      <w:kern w:val="2"/>
      <w:sz w:val="21"/>
      <w:szCs w:val="21"/>
      <w:lang w:val="en-US" w:eastAsia="zh-CN"/>
    </w:rPr>
  </w:style>
  <w:style w:type="character" w:customStyle="1" w:styleId="86">
    <w:name w:val="日期 字符"/>
    <w:link w:val="30"/>
    <w:qFormat/>
    <w:uiPriority w:val="99"/>
    <w:rPr>
      <w:rFonts w:eastAsia="宋体"/>
      <w:kern w:val="2"/>
      <w:sz w:val="24"/>
      <w:szCs w:val="24"/>
      <w:lang w:val="en-US" w:eastAsia="zh-CN"/>
    </w:rPr>
  </w:style>
  <w:style w:type="character" w:customStyle="1" w:styleId="87">
    <w:name w:val="正文文本缩进 2 字符"/>
    <w:link w:val="31"/>
    <w:semiHidden/>
    <w:qFormat/>
    <w:uiPriority w:val="99"/>
    <w:rPr>
      <w:sz w:val="24"/>
      <w:szCs w:val="24"/>
    </w:rPr>
  </w:style>
  <w:style w:type="character" w:customStyle="1" w:styleId="88">
    <w:name w:val="批注框文本 字符"/>
    <w:link w:val="33"/>
    <w:qFormat/>
    <w:uiPriority w:val="99"/>
    <w:rPr>
      <w:rFonts w:eastAsia="宋体"/>
      <w:kern w:val="2"/>
      <w:sz w:val="18"/>
      <w:szCs w:val="18"/>
      <w:lang w:val="en-US" w:eastAsia="zh-CN"/>
    </w:rPr>
  </w:style>
  <w:style w:type="character" w:customStyle="1" w:styleId="89">
    <w:name w:val="页脚 字符"/>
    <w:link w:val="34"/>
    <w:qFormat/>
    <w:uiPriority w:val="0"/>
    <w:rPr>
      <w:rFonts w:eastAsia="宋体"/>
      <w:kern w:val="2"/>
      <w:sz w:val="18"/>
      <w:szCs w:val="18"/>
      <w:lang w:val="en-US" w:eastAsia="zh-CN"/>
    </w:rPr>
  </w:style>
  <w:style w:type="character" w:customStyle="1" w:styleId="90">
    <w:name w:val="页眉 字符"/>
    <w:link w:val="35"/>
    <w:qFormat/>
    <w:uiPriority w:val="99"/>
    <w:rPr>
      <w:rFonts w:eastAsia="宋体"/>
      <w:kern w:val="2"/>
      <w:sz w:val="18"/>
      <w:szCs w:val="18"/>
      <w:lang w:val="en-US" w:eastAsia="zh-CN"/>
    </w:rPr>
  </w:style>
  <w:style w:type="character" w:customStyle="1" w:styleId="91">
    <w:name w:val="正文文本缩进 3 字符"/>
    <w:link w:val="42"/>
    <w:semiHidden/>
    <w:qFormat/>
    <w:uiPriority w:val="99"/>
    <w:rPr>
      <w:sz w:val="16"/>
      <w:szCs w:val="16"/>
    </w:rPr>
  </w:style>
  <w:style w:type="character" w:customStyle="1" w:styleId="92">
    <w:name w:val="正文文本 2 字符"/>
    <w:link w:val="45"/>
    <w:semiHidden/>
    <w:qFormat/>
    <w:uiPriority w:val="99"/>
    <w:rPr>
      <w:sz w:val="24"/>
      <w:szCs w:val="24"/>
    </w:rPr>
  </w:style>
  <w:style w:type="character" w:customStyle="1" w:styleId="93">
    <w:name w:val="HTML 预设格式 字符"/>
    <w:link w:val="46"/>
    <w:semiHidden/>
    <w:qFormat/>
    <w:uiPriority w:val="99"/>
    <w:rPr>
      <w:rFonts w:ascii="Courier New" w:hAnsi="Courier New" w:cs="Courier New"/>
      <w:sz w:val="20"/>
      <w:szCs w:val="20"/>
    </w:rPr>
  </w:style>
  <w:style w:type="character" w:customStyle="1" w:styleId="94">
    <w:name w:val="标题 字符"/>
    <w:link w:val="49"/>
    <w:qFormat/>
    <w:uiPriority w:val="10"/>
    <w:rPr>
      <w:rFonts w:ascii="Cambria" w:hAnsi="Cambria" w:cs="Cambria"/>
      <w:b/>
      <w:bCs/>
      <w:sz w:val="32"/>
      <w:szCs w:val="32"/>
    </w:rPr>
  </w:style>
  <w:style w:type="character" w:customStyle="1" w:styleId="95">
    <w:name w:val="Char Char23"/>
    <w:qFormat/>
    <w:uiPriority w:val="99"/>
    <w:rPr>
      <w:rFonts w:eastAsia="宋体"/>
      <w:b/>
      <w:bCs/>
      <w:kern w:val="44"/>
      <w:sz w:val="44"/>
      <w:szCs w:val="44"/>
      <w:lang w:val="en-US" w:eastAsia="zh-CN"/>
    </w:rPr>
  </w:style>
  <w:style w:type="character" w:customStyle="1" w:styleId="96">
    <w:name w:val="Char Char15"/>
    <w:qFormat/>
    <w:uiPriority w:val="99"/>
    <w:rPr>
      <w:rFonts w:ascii="黑体" w:hAnsi="Arial" w:eastAsia="黑体" w:cs="黑体"/>
      <w:kern w:val="0"/>
      <w:sz w:val="20"/>
      <w:szCs w:val="20"/>
    </w:rPr>
  </w:style>
  <w:style w:type="character" w:customStyle="1" w:styleId="97">
    <w:name w:val="正文缩进 字符"/>
    <w:link w:val="13"/>
    <w:qFormat/>
    <w:uiPriority w:val="99"/>
    <w:rPr>
      <w:rFonts w:eastAsia="宋体"/>
      <w:kern w:val="2"/>
      <w:sz w:val="24"/>
      <w:szCs w:val="24"/>
      <w:lang w:val="en-US" w:eastAsia="zh-CN"/>
    </w:rPr>
  </w:style>
  <w:style w:type="character" w:customStyle="1" w:styleId="98">
    <w:name w:val="zw123 Char"/>
    <w:link w:val="99"/>
    <w:qFormat/>
    <w:uiPriority w:val="99"/>
    <w:rPr>
      <w:rFonts w:ascii="宋体" w:hAnsi="宋体" w:eastAsia="宋体" w:cs="宋体"/>
      <w:kern w:val="2"/>
      <w:sz w:val="22"/>
      <w:szCs w:val="22"/>
    </w:rPr>
  </w:style>
  <w:style w:type="paragraph" w:customStyle="1" w:styleId="99">
    <w:name w:val="zw123"/>
    <w:basedOn w:val="1"/>
    <w:link w:val="98"/>
    <w:qFormat/>
    <w:uiPriority w:val="99"/>
    <w:pPr>
      <w:autoSpaceDE w:val="0"/>
      <w:autoSpaceDN w:val="0"/>
      <w:adjustRightInd w:val="0"/>
      <w:spacing w:line="360" w:lineRule="auto"/>
      <w:ind w:firstLine="480" w:firstLineChars="200"/>
    </w:pPr>
    <w:rPr>
      <w:rFonts w:ascii="宋体" w:hAnsi="宋体"/>
      <w:sz w:val="22"/>
      <w:szCs w:val="22"/>
    </w:rPr>
  </w:style>
  <w:style w:type="character" w:customStyle="1" w:styleId="100">
    <w:name w:val="rvts17"/>
    <w:qFormat/>
    <w:uiPriority w:val="99"/>
    <w:rPr>
      <w:rFonts w:ascii="KNLe" w:hAnsi="KNLe" w:cs="KNLe"/>
      <w:color w:val="000000"/>
      <w:u w:val="single"/>
    </w:rPr>
  </w:style>
  <w:style w:type="character" w:customStyle="1" w:styleId="101">
    <w:name w:val="样式 宋体 小四 加粗"/>
    <w:qFormat/>
    <w:uiPriority w:val="99"/>
    <w:rPr>
      <w:rFonts w:ascii="宋体" w:eastAsia="宋体" w:cs="宋体"/>
      <w:b/>
      <w:bCs/>
      <w:sz w:val="28"/>
      <w:szCs w:val="28"/>
    </w:rPr>
  </w:style>
  <w:style w:type="character" w:customStyle="1" w:styleId="102">
    <w:name w:val="纯文本 Char1"/>
    <w:semiHidden/>
    <w:qFormat/>
    <w:uiPriority w:val="99"/>
    <w:rPr>
      <w:rFonts w:ascii="宋体" w:hAnsi="Courier New" w:eastAsia="宋体" w:cs="宋体"/>
      <w:sz w:val="21"/>
      <w:szCs w:val="21"/>
    </w:rPr>
  </w:style>
  <w:style w:type="character" w:customStyle="1" w:styleId="103">
    <w:name w:val="Char Char17"/>
    <w:qFormat/>
    <w:uiPriority w:val="99"/>
    <w:rPr>
      <w:rFonts w:ascii="黑体" w:hAnsi="Arial" w:eastAsia="黑体" w:cs="黑体"/>
      <w:b/>
      <w:bCs/>
      <w:kern w:val="0"/>
      <w:sz w:val="20"/>
      <w:szCs w:val="20"/>
    </w:rPr>
  </w:style>
  <w:style w:type="character" w:customStyle="1" w:styleId="104">
    <w:name w:val="Para head"/>
    <w:qFormat/>
    <w:uiPriority w:val="99"/>
    <w:rPr>
      <w:sz w:val="20"/>
      <w:szCs w:val="20"/>
    </w:rPr>
  </w:style>
  <w:style w:type="character" w:customStyle="1" w:styleId="105">
    <w:name w:val="Char Char1"/>
    <w:semiHidden/>
    <w:qFormat/>
    <w:uiPriority w:val="99"/>
    <w:rPr>
      <w:rFonts w:eastAsia="宋体"/>
      <w:kern w:val="2"/>
      <w:sz w:val="18"/>
      <w:szCs w:val="18"/>
      <w:lang w:val="en-US" w:eastAsia="zh-CN"/>
    </w:rPr>
  </w:style>
  <w:style w:type="character" w:customStyle="1" w:styleId="106">
    <w:name w:val="标题 2 Char"/>
    <w:qFormat/>
    <w:uiPriority w:val="99"/>
    <w:rPr>
      <w:rFonts w:ascii="黑体" w:eastAsia="黑体" w:cs="黑体"/>
      <w:b/>
      <w:bCs/>
      <w:sz w:val="24"/>
      <w:szCs w:val="24"/>
      <w:lang w:val="en-US" w:eastAsia="zh-CN"/>
    </w:rPr>
  </w:style>
  <w:style w:type="character" w:customStyle="1" w:styleId="107">
    <w:name w:val="TEXT-NEW Char"/>
    <w:link w:val="108"/>
    <w:qFormat/>
    <w:uiPriority w:val="99"/>
    <w:rPr>
      <w:rFonts w:ascii="宋体" w:cs="宋体"/>
      <w:kern w:val="2"/>
      <w:sz w:val="24"/>
      <w:szCs w:val="24"/>
      <w:lang w:val="en-US" w:eastAsia="zh-CN" w:bidi="ar-SA"/>
    </w:rPr>
  </w:style>
  <w:style w:type="paragraph" w:customStyle="1" w:styleId="108">
    <w:name w:val="TEXT-NEW"/>
    <w:link w:val="107"/>
    <w:qFormat/>
    <w:uiPriority w:val="99"/>
    <w:pPr>
      <w:spacing w:line="360" w:lineRule="auto"/>
      <w:ind w:firstLine="480" w:firstLineChars="200"/>
      <w:jc w:val="both"/>
    </w:pPr>
    <w:rPr>
      <w:rFonts w:ascii="宋体" w:hAnsi="Times New Roman" w:eastAsia="宋体" w:cs="宋体"/>
      <w:kern w:val="2"/>
      <w:sz w:val="24"/>
      <w:szCs w:val="24"/>
      <w:lang w:val="en-US" w:eastAsia="zh-CN" w:bidi="ar-SA"/>
    </w:rPr>
  </w:style>
  <w:style w:type="character" w:customStyle="1" w:styleId="109">
    <w:name w:val="Char Char4"/>
    <w:qFormat/>
    <w:uiPriority w:val="99"/>
    <w:rPr>
      <w:rFonts w:ascii="宋体" w:hAnsi="Times New Roman" w:eastAsia="宋体" w:cs="宋体"/>
      <w:kern w:val="0"/>
      <w:sz w:val="20"/>
      <w:szCs w:val="20"/>
    </w:rPr>
  </w:style>
  <w:style w:type="character" w:customStyle="1" w:styleId="110">
    <w:name w:val="Char Char22"/>
    <w:qFormat/>
    <w:uiPriority w:val="99"/>
    <w:rPr>
      <w:rFonts w:eastAsia="宋体"/>
      <w:b/>
      <w:bCs/>
      <w:kern w:val="2"/>
      <w:sz w:val="32"/>
      <w:szCs w:val="32"/>
      <w:lang w:val="en-US" w:eastAsia="zh-CN"/>
    </w:rPr>
  </w:style>
  <w:style w:type="character" w:customStyle="1" w:styleId="111">
    <w:name w:val="grame"/>
    <w:basedOn w:val="54"/>
    <w:qFormat/>
    <w:uiPriority w:val="99"/>
  </w:style>
  <w:style w:type="character" w:customStyle="1" w:styleId="112">
    <w:name w:val="正文（首行缩进两字） Char"/>
    <w:qFormat/>
    <w:uiPriority w:val="99"/>
    <w:rPr>
      <w:rFonts w:eastAsia="宋体"/>
      <w:kern w:val="2"/>
      <w:sz w:val="24"/>
      <w:szCs w:val="24"/>
      <w:lang w:val="en-US" w:eastAsia="zh-CN"/>
    </w:rPr>
  </w:style>
  <w:style w:type="character" w:customStyle="1" w:styleId="113">
    <w:name w:val="Char Char9"/>
    <w:qFormat/>
    <w:uiPriority w:val="99"/>
    <w:rPr>
      <w:rFonts w:ascii="Times New Roman" w:hAnsi="Times New Roman" w:eastAsia="宋体" w:cs="Times New Roman"/>
      <w:kern w:val="0"/>
      <w:sz w:val="20"/>
      <w:szCs w:val="20"/>
    </w:rPr>
  </w:style>
  <w:style w:type="character" w:customStyle="1" w:styleId="114">
    <w:name w:val="图表编号  宋体 五号 加粗"/>
    <w:qFormat/>
    <w:uiPriority w:val="99"/>
    <w:rPr>
      <w:rFonts w:ascii="宋体" w:eastAsia="宋体" w:cs="宋体"/>
      <w:b/>
      <w:bCs/>
      <w:sz w:val="21"/>
      <w:szCs w:val="21"/>
    </w:rPr>
  </w:style>
  <w:style w:type="character" w:customStyle="1" w:styleId="115">
    <w:name w:val="普通文字 Char Char"/>
    <w:qFormat/>
    <w:uiPriority w:val="99"/>
    <w:rPr>
      <w:rFonts w:ascii="宋体" w:hAnsi="Courier New" w:eastAsia="宋体" w:cs="宋体"/>
      <w:kern w:val="2"/>
      <w:sz w:val="21"/>
      <w:szCs w:val="21"/>
      <w:lang w:val="en-US" w:eastAsia="zh-CN"/>
    </w:rPr>
  </w:style>
  <w:style w:type="character" w:customStyle="1" w:styleId="116">
    <w:name w:val="Char Char11"/>
    <w:qFormat/>
    <w:uiPriority w:val="99"/>
    <w:rPr>
      <w:sz w:val="18"/>
      <w:szCs w:val="18"/>
    </w:rPr>
  </w:style>
  <w:style w:type="character" w:customStyle="1" w:styleId="117">
    <w:name w:val="正文（首行缩进两字） + Arial Char Char Char Char Char Char Char Char Char Char Char Char Char Char Char Char Char Char Char Char Char Char Char Char Char Char Char"/>
    <w:qFormat/>
    <w:uiPriority w:val="99"/>
    <w:rPr>
      <w:rFonts w:ascii="Arial" w:hAnsi="Arial" w:eastAsia="宋体" w:cs="Arial"/>
      <w:sz w:val="24"/>
      <w:szCs w:val="24"/>
      <w:lang w:val="en-US" w:eastAsia="zh-CN"/>
    </w:rPr>
  </w:style>
  <w:style w:type="character" w:customStyle="1" w:styleId="118">
    <w:name w:val="样式 宋体 小四2"/>
    <w:qFormat/>
    <w:uiPriority w:val="99"/>
    <w:rPr>
      <w:rFonts w:ascii="宋体" w:eastAsia="宋体" w:cs="宋体"/>
      <w:kern w:val="0"/>
      <w:sz w:val="28"/>
      <w:szCs w:val="28"/>
    </w:rPr>
  </w:style>
  <w:style w:type="character" w:customStyle="1" w:styleId="119">
    <w:name w:val="Char Char19"/>
    <w:qFormat/>
    <w:uiPriority w:val="99"/>
    <w:rPr>
      <w:rFonts w:ascii="黑体" w:hAnsi="Arial" w:eastAsia="黑体" w:cs="黑体"/>
      <w:b/>
      <w:bCs/>
      <w:kern w:val="0"/>
      <w:sz w:val="20"/>
      <w:szCs w:val="20"/>
    </w:rPr>
  </w:style>
  <w:style w:type="character" w:customStyle="1" w:styleId="120">
    <w:name w:val="样式 (西文) 仿宋_GB2312 小四"/>
    <w:qFormat/>
    <w:uiPriority w:val="99"/>
    <w:rPr>
      <w:rFonts w:ascii="Times New Roman" w:hAnsi="Times New Roman" w:eastAsia="宋体" w:cs="Times New Roman"/>
      <w:sz w:val="24"/>
      <w:szCs w:val="24"/>
    </w:rPr>
  </w:style>
  <w:style w:type="character" w:customStyle="1" w:styleId="121">
    <w:name w:val="Char Char21"/>
    <w:qFormat/>
    <w:uiPriority w:val="99"/>
    <w:rPr>
      <w:rFonts w:ascii="Arial" w:hAnsi="Arial" w:eastAsia="黑体" w:cs="Arial"/>
      <w:b/>
      <w:bCs/>
      <w:kern w:val="2"/>
      <w:sz w:val="28"/>
      <w:szCs w:val="28"/>
      <w:lang w:val="en-US" w:eastAsia="zh-CN"/>
    </w:rPr>
  </w:style>
  <w:style w:type="character" w:customStyle="1" w:styleId="122">
    <w:name w:val="样式 黑体 小二"/>
    <w:qFormat/>
    <w:uiPriority w:val="99"/>
    <w:rPr>
      <w:rFonts w:ascii="黑体" w:hAnsi="黑体" w:eastAsia="黑体" w:cs="黑体"/>
      <w:sz w:val="36"/>
      <w:szCs w:val="36"/>
    </w:rPr>
  </w:style>
  <w:style w:type="character" w:customStyle="1" w:styleId="123">
    <w:name w:val="样式 宋体 小四"/>
    <w:qFormat/>
    <w:uiPriority w:val="99"/>
    <w:rPr>
      <w:rFonts w:ascii="宋体" w:eastAsia="宋体" w:cs="宋体"/>
      <w:sz w:val="28"/>
      <w:szCs w:val="28"/>
    </w:rPr>
  </w:style>
  <w:style w:type="character" w:customStyle="1" w:styleId="124">
    <w:name w:val="标题 1.1 Char Char"/>
    <w:qFormat/>
    <w:uiPriority w:val="99"/>
    <w:rPr>
      <w:rFonts w:ascii="Arial" w:hAnsi="Arial" w:eastAsia="黑体" w:cs="Arial"/>
      <w:b/>
      <w:bCs/>
      <w:kern w:val="2"/>
      <w:sz w:val="32"/>
      <w:szCs w:val="32"/>
      <w:lang w:val="en-US" w:eastAsia="zh-CN"/>
    </w:rPr>
  </w:style>
  <w:style w:type="character" w:customStyle="1" w:styleId="125">
    <w:name w:val="标题1　样式 宋体 小三 加粗"/>
    <w:qFormat/>
    <w:uiPriority w:val="99"/>
    <w:rPr>
      <w:rFonts w:ascii="宋体" w:hAnsi="宋体" w:eastAsia="黑体" w:cs="宋体"/>
      <w:b/>
      <w:bCs/>
      <w:kern w:val="44"/>
      <w:sz w:val="44"/>
      <w:szCs w:val="44"/>
      <w:lang w:val="en-US" w:eastAsia="zh-CN"/>
    </w:rPr>
  </w:style>
  <w:style w:type="character" w:customStyle="1" w:styleId="126">
    <w:name w:val="样式 样式 (西文) 仿宋_GB2312 小四 + 加粗"/>
    <w:qFormat/>
    <w:uiPriority w:val="99"/>
    <w:rPr>
      <w:rFonts w:ascii="Times New Roman" w:hAnsi="Times New Roman" w:eastAsia="宋体" w:cs="Times New Roman"/>
      <w:b/>
      <w:bCs/>
      <w:sz w:val="24"/>
      <w:szCs w:val="24"/>
    </w:rPr>
  </w:style>
  <w:style w:type="character" w:customStyle="1" w:styleId="127">
    <w:name w:val="样式 宋体 小四 加粗1"/>
    <w:qFormat/>
    <w:uiPriority w:val="99"/>
    <w:rPr>
      <w:rFonts w:ascii="宋体" w:eastAsia="宋体" w:cs="宋体"/>
      <w:b/>
      <w:bCs/>
      <w:sz w:val="28"/>
      <w:szCs w:val="28"/>
    </w:rPr>
  </w:style>
  <w:style w:type="character" w:customStyle="1" w:styleId="128">
    <w:name w:val="样式 宋体 小四1"/>
    <w:qFormat/>
    <w:uiPriority w:val="99"/>
    <w:rPr>
      <w:rFonts w:ascii="宋体" w:eastAsia="宋体" w:cs="宋体"/>
      <w:sz w:val="28"/>
      <w:szCs w:val="28"/>
    </w:rPr>
  </w:style>
  <w:style w:type="character" w:customStyle="1" w:styleId="129">
    <w:name w:val="font161"/>
    <w:qFormat/>
    <w:uiPriority w:val="99"/>
    <w:rPr>
      <w:b/>
      <w:bCs/>
      <w:sz w:val="32"/>
      <w:szCs w:val="32"/>
    </w:rPr>
  </w:style>
  <w:style w:type="paragraph" w:customStyle="1" w:styleId="130">
    <w:name w:val="正文文本 21"/>
    <w:basedOn w:val="1"/>
    <w:qFormat/>
    <w:uiPriority w:val="99"/>
    <w:pPr>
      <w:adjustRightInd w:val="0"/>
      <w:ind w:firstLine="510"/>
      <w:jc w:val="left"/>
      <w:textAlignment w:val="baseline"/>
    </w:pPr>
    <w:rPr>
      <w:rFonts w:eastAsia="@幼圆"/>
      <w:sz w:val="32"/>
      <w:szCs w:val="32"/>
    </w:rPr>
  </w:style>
  <w:style w:type="paragraph" w:customStyle="1" w:styleId="131">
    <w:name w:val="表、图签"/>
    <w:basedOn w:val="1"/>
    <w:qFormat/>
    <w:uiPriority w:val="99"/>
    <w:pPr>
      <w:spacing w:line="360" w:lineRule="auto"/>
      <w:jc w:val="center"/>
    </w:pPr>
    <w:rPr>
      <w:rFonts w:ascii="黑体" w:hAnsi="Arial" w:eastAsia="黑体" w:cs="黑体"/>
      <w:sz w:val="24"/>
      <w:szCs w:val="24"/>
    </w:rPr>
  </w:style>
  <w:style w:type="paragraph" w:customStyle="1" w:styleId="132">
    <w:name w:val="标题一"/>
    <w:basedOn w:val="2"/>
    <w:qFormat/>
    <w:uiPriority w:val="99"/>
    <w:pPr>
      <w:keepNext w:val="0"/>
      <w:adjustRightInd w:val="0"/>
      <w:snapToGrid w:val="0"/>
      <w:spacing w:beforeLines="1600" w:after="0" w:line="240" w:lineRule="auto"/>
      <w:ind w:left="454"/>
      <w:jc w:val="center"/>
    </w:pPr>
  </w:style>
  <w:style w:type="paragraph" w:customStyle="1" w:styleId="133">
    <w:name w:val="节标题"/>
    <w:basedOn w:val="1"/>
    <w:qFormat/>
    <w:uiPriority w:val="99"/>
    <w:pPr>
      <w:spacing w:before="240" w:after="240"/>
      <w:jc w:val="center"/>
    </w:pPr>
    <w:rPr>
      <w:rFonts w:eastAsia="文鼎CS长美黑"/>
      <w:w w:val="95"/>
      <w:sz w:val="32"/>
      <w:szCs w:val="32"/>
    </w:rPr>
  </w:style>
  <w:style w:type="paragraph" w:customStyle="1" w:styleId="134">
    <w:name w:val="样式5"/>
    <w:qFormat/>
    <w:uiPriority w:val="99"/>
    <w:pPr>
      <w:adjustRightInd w:val="0"/>
      <w:snapToGrid w:val="0"/>
      <w:spacing w:beforeLines="15" w:afterLines="15" w:line="360" w:lineRule="auto"/>
      <w:ind w:left="200" w:leftChars="200"/>
    </w:pPr>
    <w:rPr>
      <w:rFonts w:ascii="宋体" w:hAnsi="Times New Roman" w:eastAsia="宋体" w:cs="宋体"/>
      <w:kern w:val="2"/>
      <w:sz w:val="21"/>
      <w:szCs w:val="21"/>
      <w:lang w:val="en-US" w:eastAsia="zh-CN" w:bidi="ar-SA"/>
    </w:rPr>
  </w:style>
  <w:style w:type="paragraph" w:customStyle="1" w:styleId="135">
    <w:name w:val="表头文字"/>
    <w:basedOn w:val="1"/>
    <w:qFormat/>
    <w:uiPriority w:val="99"/>
    <w:pPr>
      <w:spacing w:beforeLines="50" w:afterLines="50" w:line="360" w:lineRule="auto"/>
      <w:jc w:val="right"/>
    </w:pPr>
    <w:rPr>
      <w:color w:val="FF0000"/>
    </w:rPr>
  </w:style>
  <w:style w:type="paragraph" w:customStyle="1" w:styleId="136">
    <w:name w:val="表头"/>
    <w:basedOn w:val="1"/>
    <w:qFormat/>
    <w:uiPriority w:val="99"/>
    <w:pPr>
      <w:adjustRightInd w:val="0"/>
      <w:spacing w:before="120" w:after="60" w:line="420" w:lineRule="atLeast"/>
      <w:textAlignment w:val="baseline"/>
    </w:pPr>
    <w:rPr>
      <w:rFonts w:ascii="黑体" w:eastAsia="黑体" w:cs="黑体"/>
      <w:b/>
      <w:bCs/>
      <w:kern w:val="0"/>
    </w:rPr>
  </w:style>
  <w:style w:type="paragraph" w:customStyle="1" w:styleId="137">
    <w:name w:val="xl36"/>
    <w:basedOn w:val="1"/>
    <w:qFormat/>
    <w:uiPriority w:val="99"/>
    <w:pPr>
      <w:widowControl/>
      <w:spacing w:before="100" w:beforeAutospacing="1" w:after="100" w:afterAutospacing="1"/>
      <w:jc w:val="left"/>
    </w:pPr>
    <w:rPr>
      <w:rFonts w:ascii="黑体" w:hAnsi="宋体" w:eastAsia="黑体" w:cs="黑体"/>
      <w:color w:val="000000"/>
      <w:kern w:val="0"/>
      <w:sz w:val="24"/>
      <w:szCs w:val="24"/>
    </w:rPr>
  </w:style>
  <w:style w:type="paragraph" w:customStyle="1" w:styleId="138">
    <w:name w:val="样式1"/>
    <w:basedOn w:val="1"/>
    <w:qFormat/>
    <w:uiPriority w:val="99"/>
    <w:rPr>
      <w:sz w:val="18"/>
      <w:szCs w:val="18"/>
    </w:rPr>
  </w:style>
  <w:style w:type="paragraph" w:customStyle="1" w:styleId="139">
    <w:name w:val="Char"/>
    <w:basedOn w:val="1"/>
    <w:qFormat/>
    <w:uiPriority w:val="99"/>
  </w:style>
  <w:style w:type="paragraph" w:customStyle="1" w:styleId="140">
    <w:name w:val="样式 宋体 小四 首行缩进:  0.99 厘米 行距: 固定值 30 磅"/>
    <w:basedOn w:val="1"/>
    <w:qFormat/>
    <w:uiPriority w:val="99"/>
    <w:pPr>
      <w:spacing w:line="600" w:lineRule="exact"/>
      <w:ind w:firstLine="560"/>
    </w:pPr>
    <w:rPr>
      <w:rFonts w:ascii="宋体" w:hAnsi="宋体" w:cs="宋体"/>
      <w:sz w:val="28"/>
      <w:szCs w:val="28"/>
    </w:rPr>
  </w:style>
  <w:style w:type="paragraph" w:customStyle="1" w:styleId="141">
    <w:name w:val="Char Char Char Char Char Char"/>
    <w:basedOn w:val="1"/>
    <w:qFormat/>
    <w:uiPriority w:val="99"/>
  </w:style>
  <w:style w:type="paragraph" w:customStyle="1" w:styleId="142">
    <w:name w:val="font6"/>
    <w:basedOn w:val="1"/>
    <w:qFormat/>
    <w:uiPriority w:val="99"/>
    <w:pPr>
      <w:widowControl/>
      <w:spacing w:before="100" w:beforeAutospacing="1" w:after="100" w:afterAutospacing="1"/>
      <w:jc w:val="left"/>
    </w:pPr>
    <w:rPr>
      <w:rFonts w:ascii="宋体" w:hAnsi="宋体" w:cs="宋体"/>
      <w:color w:val="000000"/>
      <w:kern w:val="0"/>
    </w:rPr>
  </w:style>
  <w:style w:type="paragraph" w:customStyle="1" w:styleId="143">
    <w:name w:val="样式"/>
    <w:basedOn w:val="1"/>
    <w:next w:val="42"/>
    <w:qFormat/>
    <w:uiPriority w:val="99"/>
    <w:pPr>
      <w:adjustRightInd w:val="0"/>
      <w:ind w:firstLine="564"/>
      <w:textAlignment w:val="baseline"/>
    </w:pPr>
    <w:rPr>
      <w:rFonts w:ascii="宋体" w:cs="宋体"/>
      <w:kern w:val="0"/>
      <w:sz w:val="28"/>
      <w:szCs w:val="28"/>
    </w:rPr>
  </w:style>
  <w:style w:type="paragraph" w:customStyle="1" w:styleId="144">
    <w:name w:val="_Style 20"/>
    <w:basedOn w:val="1"/>
    <w:qFormat/>
    <w:uiPriority w:val="99"/>
  </w:style>
  <w:style w:type="paragraph" w:customStyle="1" w:styleId="145">
    <w:name w:val="格式4"/>
    <w:basedOn w:val="1"/>
    <w:qFormat/>
    <w:uiPriority w:val="99"/>
    <w:pPr>
      <w:spacing w:line="420" w:lineRule="exact"/>
      <w:ind w:left="990" w:leftChars="300" w:hanging="360" w:hangingChars="150"/>
    </w:pPr>
    <w:rPr>
      <w:rFonts w:ascii="宋体" w:hAnsi="宋体" w:cs="宋体"/>
      <w:color w:val="000000"/>
      <w:sz w:val="24"/>
      <w:szCs w:val="24"/>
    </w:rPr>
  </w:style>
  <w:style w:type="paragraph" w:customStyle="1" w:styleId="146">
    <w:name w:val="正正文"/>
    <w:basedOn w:val="1"/>
    <w:qFormat/>
    <w:uiPriority w:val="99"/>
    <w:pPr>
      <w:spacing w:line="360" w:lineRule="auto"/>
      <w:ind w:firstLine="480" w:firstLineChars="200"/>
    </w:pPr>
    <w:rPr>
      <w:rFonts w:ascii="宋体" w:hAnsi="宋体" w:cs="宋体"/>
      <w:kern w:val="0"/>
      <w:sz w:val="24"/>
      <w:szCs w:val="24"/>
    </w:rPr>
  </w:style>
  <w:style w:type="paragraph" w:customStyle="1" w:styleId="147">
    <w:name w:val="标题222"/>
    <w:basedOn w:val="1"/>
    <w:qFormat/>
    <w:uiPriority w:val="99"/>
    <w:pPr>
      <w:ind w:firstLine="200" w:firstLineChars="200"/>
      <w:jc w:val="left"/>
      <w:outlineLvl w:val="1"/>
    </w:pPr>
    <w:rPr>
      <w:rFonts w:ascii="宋体" w:hAnsi="宋体" w:cs="宋体"/>
      <w:b/>
      <w:bCs/>
      <w:sz w:val="28"/>
      <w:szCs w:val="28"/>
    </w:rPr>
  </w:style>
  <w:style w:type="paragraph" w:customStyle="1" w:styleId="148">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49">
    <w:name w:val="格式10"/>
    <w:basedOn w:val="1"/>
    <w:qFormat/>
    <w:uiPriority w:val="99"/>
    <w:pPr>
      <w:spacing w:line="360" w:lineRule="exact"/>
      <w:ind w:left="480"/>
    </w:pPr>
    <w:rPr>
      <w:sz w:val="24"/>
      <w:szCs w:val="24"/>
    </w:rPr>
  </w:style>
  <w:style w:type="paragraph" w:customStyle="1" w:styleId="150">
    <w:name w:val="Char1 Char Char Char"/>
    <w:basedOn w:val="1"/>
    <w:qFormat/>
    <w:uiPriority w:val="99"/>
    <w:rPr>
      <w:rFonts w:ascii="Tahoma" w:hAnsi="Tahoma" w:cs="Tahoma"/>
      <w:sz w:val="24"/>
      <w:szCs w:val="24"/>
    </w:rPr>
  </w:style>
  <w:style w:type="paragraph" w:customStyle="1" w:styleId="151">
    <w:name w:val="正文文本 211"/>
    <w:basedOn w:val="1"/>
    <w:qFormat/>
    <w:uiPriority w:val="99"/>
    <w:pPr>
      <w:adjustRightInd w:val="0"/>
      <w:spacing w:line="360" w:lineRule="atLeast"/>
      <w:ind w:left="480"/>
      <w:textAlignment w:val="baseline"/>
    </w:pPr>
    <w:rPr>
      <w:rFonts w:ascii="宋体" w:cs="宋体"/>
      <w:kern w:val="0"/>
      <w:sz w:val="24"/>
      <w:szCs w:val="24"/>
    </w:rPr>
  </w:style>
  <w:style w:type="paragraph" w:customStyle="1" w:styleId="152">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153">
    <w:name w:val="表格3"/>
    <w:basedOn w:val="1"/>
    <w:qFormat/>
    <w:uiPriority w:val="99"/>
    <w:pPr>
      <w:adjustRightInd w:val="0"/>
      <w:spacing w:line="420" w:lineRule="atLeast"/>
      <w:textAlignment w:val="baseline"/>
    </w:pPr>
    <w:rPr>
      <w:rFonts w:eastAsia="楷体"/>
      <w:kern w:val="0"/>
    </w:rPr>
  </w:style>
  <w:style w:type="paragraph" w:customStyle="1" w:styleId="154">
    <w:name w:val="样式 标题 2 + Times New Roman 四号 非加粗 段前: 5 磅 段后: 0 磅 行距: 固定值 20..."/>
    <w:basedOn w:val="3"/>
    <w:qFormat/>
    <w:uiPriority w:val="0"/>
    <w:pPr>
      <w:spacing w:before="100" w:after="0" w:line="400" w:lineRule="exact"/>
    </w:pPr>
    <w:rPr>
      <w:rFonts w:ascii="Times New Roman" w:hAnsi="Times New Roman" w:cs="Times New Roman"/>
      <w:b w:val="0"/>
      <w:bCs w:val="0"/>
      <w:sz w:val="28"/>
      <w:szCs w:val="28"/>
    </w:rPr>
  </w:style>
  <w:style w:type="paragraph" w:customStyle="1" w:styleId="155">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56">
    <w:name w:val="格式2"/>
    <w:qFormat/>
    <w:uiPriority w:val="99"/>
    <w:pPr>
      <w:widowControl w:val="0"/>
      <w:adjustRightInd w:val="0"/>
      <w:snapToGrid w:val="0"/>
      <w:spacing w:before="50" w:line="440" w:lineRule="exact"/>
      <w:jc w:val="both"/>
    </w:pPr>
    <w:rPr>
      <w:rFonts w:ascii="Times New Roman" w:hAnsi="Times New Roman" w:eastAsia="宋体" w:cs="Times New Roman"/>
      <w:sz w:val="24"/>
      <w:szCs w:val="24"/>
      <w:lang w:val="en-US" w:eastAsia="zh-CN" w:bidi="ar-SA"/>
    </w:rPr>
  </w:style>
  <w:style w:type="paragraph" w:customStyle="1" w:styleId="157">
    <w:name w:val="格式1"/>
    <w:basedOn w:val="1"/>
    <w:qFormat/>
    <w:uiPriority w:val="99"/>
    <w:pPr>
      <w:spacing w:beforeLines="50"/>
      <w:jc w:val="center"/>
    </w:pPr>
    <w:rPr>
      <w:rFonts w:ascii="黑体" w:hAnsi="宋体" w:eastAsia="黑体" w:cs="黑体"/>
      <w:b/>
      <w:bCs/>
      <w:color w:val="000000"/>
      <w:sz w:val="32"/>
      <w:szCs w:val="32"/>
    </w:rPr>
  </w:style>
  <w:style w:type="paragraph" w:customStyle="1" w:styleId="158">
    <w:name w:val="正文 + 宋体"/>
    <w:basedOn w:val="1"/>
    <w:qFormat/>
    <w:uiPriority w:val="99"/>
    <w:pPr>
      <w:adjustRightInd w:val="0"/>
      <w:snapToGrid w:val="0"/>
      <w:spacing w:line="360" w:lineRule="auto"/>
      <w:ind w:left="567"/>
    </w:pPr>
    <w:rPr>
      <w:rFonts w:ascii="宋体" w:hAnsi="宋体" w:cs="宋体"/>
      <w:kern w:val="0"/>
      <w:sz w:val="24"/>
      <w:szCs w:val="24"/>
    </w:rPr>
  </w:style>
  <w:style w:type="paragraph" w:customStyle="1" w:styleId="159">
    <w:name w:val="font8"/>
    <w:basedOn w:val="1"/>
    <w:qFormat/>
    <w:uiPriority w:val="99"/>
    <w:pPr>
      <w:widowControl/>
      <w:spacing w:before="100" w:beforeAutospacing="1" w:after="100" w:afterAutospacing="1"/>
      <w:jc w:val="left"/>
    </w:pPr>
    <w:rPr>
      <w:color w:val="000000"/>
      <w:kern w:val="0"/>
    </w:rPr>
  </w:style>
  <w:style w:type="paragraph" w:customStyle="1" w:styleId="160">
    <w:name w:val="标题111"/>
    <w:basedOn w:val="1"/>
    <w:qFormat/>
    <w:uiPriority w:val="99"/>
    <w:pPr>
      <w:jc w:val="left"/>
      <w:outlineLvl w:val="0"/>
    </w:pPr>
    <w:rPr>
      <w:rFonts w:ascii="宋体" w:hAnsi="宋体" w:cs="宋体"/>
      <w:b/>
      <w:bCs/>
      <w:sz w:val="28"/>
      <w:szCs w:val="28"/>
    </w:rPr>
  </w:style>
  <w:style w:type="paragraph" w:customStyle="1" w:styleId="161">
    <w:name w:val="Char Char Char1 Char Char Char Char Char Char Char Char Char Char Char Char Char Char Char Char Char Char Char"/>
    <w:basedOn w:val="1"/>
    <w:qFormat/>
    <w:uiPriority w:val="99"/>
  </w:style>
  <w:style w:type="paragraph" w:customStyle="1" w:styleId="162">
    <w:name w:val="表名A"/>
    <w:basedOn w:val="1"/>
    <w:qFormat/>
    <w:uiPriority w:val="99"/>
    <w:pPr>
      <w:widowControl/>
      <w:tabs>
        <w:tab w:val="center" w:pos="4860"/>
        <w:tab w:val="right" w:pos="8820"/>
      </w:tabs>
      <w:adjustRightInd w:val="0"/>
      <w:snapToGrid w:val="0"/>
      <w:spacing w:beforeLines="80" w:afterLines="20"/>
    </w:pPr>
    <w:rPr>
      <w:rFonts w:ascii="华文细黑" w:hAnsi="华文细黑" w:eastAsia="华文细黑" w:cs="华文细黑"/>
      <w:kern w:val="0"/>
    </w:rPr>
  </w:style>
  <w:style w:type="paragraph" w:customStyle="1" w:styleId="163">
    <w:name w:val="xl30"/>
    <w:basedOn w:val="1"/>
    <w:qFormat/>
    <w:uiPriority w:val="99"/>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cs="宋体"/>
      <w:kern w:val="0"/>
    </w:rPr>
  </w:style>
  <w:style w:type="paragraph" w:customStyle="1" w:styleId="164">
    <w:name w:val="二级条标题"/>
    <w:basedOn w:val="165"/>
    <w:next w:val="166"/>
    <w:qFormat/>
    <w:uiPriority w:val="99"/>
    <w:pPr>
      <w:ind w:left="540"/>
      <w:outlineLvl w:val="3"/>
    </w:pPr>
  </w:style>
  <w:style w:type="paragraph" w:customStyle="1" w:styleId="165">
    <w:name w:val="一级条标题"/>
    <w:next w:val="166"/>
    <w:qFormat/>
    <w:uiPriority w:val="99"/>
    <w:pPr>
      <w:outlineLvl w:val="2"/>
    </w:pPr>
    <w:rPr>
      <w:rFonts w:ascii="Times New Roman" w:hAnsi="Times New Roman" w:eastAsia="黑体" w:cs="Times New Roman"/>
      <w:sz w:val="21"/>
      <w:szCs w:val="21"/>
      <w:lang w:val="en-US" w:eastAsia="zh-CN" w:bidi="ar-SA"/>
    </w:rPr>
  </w:style>
  <w:style w:type="paragraph" w:customStyle="1" w:styleId="166">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67">
    <w:name w:val="表1"/>
    <w:basedOn w:val="1"/>
    <w:qFormat/>
    <w:uiPriority w:val="99"/>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168">
    <w:name w:val="Char Char Char Char Char Char1"/>
    <w:basedOn w:val="1"/>
    <w:qFormat/>
    <w:uiPriority w:val="99"/>
  </w:style>
  <w:style w:type="paragraph" w:customStyle="1" w:styleId="169">
    <w:name w:val="表中"/>
    <w:basedOn w:val="1"/>
    <w:qFormat/>
    <w:uiPriority w:val="99"/>
    <w:pPr>
      <w:adjustRightInd w:val="0"/>
      <w:spacing w:line="360" w:lineRule="atLeast"/>
      <w:jc w:val="center"/>
      <w:textAlignment w:val="baseline"/>
    </w:pPr>
    <w:rPr>
      <w:kern w:val="0"/>
    </w:rPr>
  </w:style>
  <w:style w:type="paragraph" w:customStyle="1" w:styleId="170">
    <w:name w:val="正文2"/>
    <w:basedOn w:val="1"/>
    <w:qFormat/>
    <w:uiPriority w:val="99"/>
    <w:pPr>
      <w:adjustRightInd w:val="0"/>
      <w:spacing w:line="420" w:lineRule="atLeast"/>
      <w:textAlignment w:val="baseline"/>
    </w:pPr>
    <w:rPr>
      <w:kern w:val="0"/>
    </w:rPr>
  </w:style>
  <w:style w:type="paragraph" w:customStyle="1" w:styleId="171">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72">
    <w:name w:val="Char Char Char Char Char Char Char Char Char Char Char Char Char Char Char Char Char Char Char Char Char Char Char Char Char"/>
    <w:basedOn w:val="1"/>
    <w:qFormat/>
    <w:uiPriority w:val="99"/>
  </w:style>
  <w:style w:type="paragraph" w:customStyle="1" w:styleId="173">
    <w:name w:val="af15hichaf0dbchf15cgrid"/>
    <w:qFormat/>
    <w:uiPriority w:val="99"/>
    <w:pPr>
      <w:widowControl w:val="0"/>
      <w:tabs>
        <w:tab w:val="center" w:pos="4320"/>
        <w:tab w:val="right" w:pos="8640"/>
      </w:tabs>
      <w:adjustRightInd w:val="0"/>
      <w:spacing w:line="315" w:lineRule="atLeast"/>
      <w:jc w:val="both"/>
      <w:textAlignment w:val="baseline"/>
    </w:pPr>
    <w:rPr>
      <w:rFonts w:ascii="宋体" w:hAnsi="Times New Roman" w:eastAsia="宋体" w:cs="宋体"/>
      <w:sz w:val="21"/>
      <w:szCs w:val="21"/>
      <w:lang w:val="en-US" w:eastAsia="zh-CN" w:bidi="ar-SA"/>
    </w:rPr>
  </w:style>
  <w:style w:type="paragraph" w:customStyle="1" w:styleId="174">
    <w:name w:val="三级条标题1"/>
    <w:basedOn w:val="1"/>
    <w:next w:val="1"/>
    <w:qFormat/>
    <w:uiPriority w:val="99"/>
    <w:pPr>
      <w:widowControl/>
      <w:ind w:left="900"/>
      <w:jc w:val="left"/>
      <w:outlineLvl w:val="4"/>
    </w:pPr>
    <w:rPr>
      <w:rFonts w:eastAsia="黑体"/>
      <w:kern w:val="0"/>
    </w:rPr>
  </w:style>
  <w:style w:type="paragraph" w:customStyle="1" w:styleId="175">
    <w:name w:val="Char4"/>
    <w:basedOn w:val="1"/>
    <w:qFormat/>
    <w:uiPriority w:val="99"/>
    <w:rPr>
      <w:rFonts w:ascii="Tahoma" w:hAnsi="Tahoma" w:cs="Tahoma"/>
      <w:sz w:val="24"/>
      <w:szCs w:val="24"/>
    </w:rPr>
  </w:style>
  <w:style w:type="paragraph" w:customStyle="1" w:styleId="176">
    <w:name w:val="xl3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77">
    <w:name w:val="表格2"/>
    <w:basedOn w:val="1"/>
    <w:qFormat/>
    <w:uiPriority w:val="99"/>
    <w:pPr>
      <w:adjustRightInd w:val="0"/>
      <w:spacing w:line="420" w:lineRule="atLeast"/>
      <w:ind w:left="284" w:firstLine="454"/>
      <w:textAlignment w:val="baseline"/>
    </w:pPr>
    <w:rPr>
      <w:kern w:val="0"/>
    </w:rPr>
  </w:style>
  <w:style w:type="paragraph" w:customStyle="1" w:styleId="178">
    <w:name w:val="格式３"/>
    <w:basedOn w:val="1"/>
    <w:qFormat/>
    <w:uiPriority w:val="99"/>
    <w:pPr>
      <w:spacing w:line="420" w:lineRule="exact"/>
      <w:ind w:left="600" w:hanging="600" w:hangingChars="250"/>
    </w:pPr>
    <w:rPr>
      <w:rFonts w:ascii="宋体" w:hAnsi="宋体" w:cs="宋体"/>
      <w:color w:val="000000"/>
      <w:sz w:val="24"/>
      <w:szCs w:val="24"/>
    </w:rPr>
  </w:style>
  <w:style w:type="paragraph" w:customStyle="1" w:styleId="179">
    <w:name w:val="正文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80">
    <w:name w:val="xl35"/>
    <w:basedOn w:val="1"/>
    <w:qFormat/>
    <w:uiPriority w:val="99"/>
    <w:pPr>
      <w:widowControl/>
      <w:pBdr>
        <w:bottom w:val="single" w:color="auto" w:sz="4" w:space="0"/>
      </w:pBdr>
      <w:spacing w:before="100" w:beforeAutospacing="1" w:after="100" w:afterAutospacing="1"/>
      <w:jc w:val="left"/>
    </w:pPr>
    <w:rPr>
      <w:color w:val="000000"/>
      <w:kern w:val="0"/>
    </w:rPr>
  </w:style>
  <w:style w:type="paragraph" w:customStyle="1" w:styleId="181">
    <w:name w:val="正文文本缩进 21"/>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182">
    <w:name w:val="Char Char Char"/>
    <w:basedOn w:val="1"/>
    <w:qFormat/>
    <w:uiPriority w:val="99"/>
    <w:pPr>
      <w:spacing w:line="360" w:lineRule="auto"/>
      <w:ind w:firstLine="200" w:firstLineChars="200"/>
    </w:pPr>
    <w:rPr>
      <w:rFonts w:ascii="宋体" w:hAnsi="宋体" w:cs="宋体"/>
      <w:sz w:val="24"/>
      <w:szCs w:val="24"/>
    </w:rPr>
  </w:style>
  <w:style w:type="paragraph" w:customStyle="1" w:styleId="183">
    <w:name w:val="xl33"/>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4">
    <w:name w:val="列出段落1"/>
    <w:basedOn w:val="1"/>
    <w:qFormat/>
    <w:uiPriority w:val="99"/>
    <w:pPr>
      <w:adjustRightInd w:val="0"/>
      <w:spacing w:line="420" w:lineRule="atLeast"/>
      <w:ind w:firstLine="420" w:firstLineChars="200"/>
      <w:textAlignment w:val="baseline"/>
    </w:pPr>
    <w:rPr>
      <w:kern w:val="0"/>
    </w:rPr>
  </w:style>
  <w:style w:type="paragraph" w:customStyle="1" w:styleId="185">
    <w:name w:val="目录1"/>
    <w:basedOn w:val="1"/>
    <w:qFormat/>
    <w:uiPriority w:val="99"/>
    <w:pPr>
      <w:adjustRightInd w:val="0"/>
      <w:spacing w:line="420" w:lineRule="atLeast"/>
      <w:textAlignment w:val="baseline"/>
    </w:pPr>
    <w:rPr>
      <w:rFonts w:eastAsia="黑体"/>
      <w:b/>
      <w:bCs/>
      <w:kern w:val="0"/>
    </w:rPr>
  </w:style>
  <w:style w:type="paragraph" w:customStyle="1" w:styleId="186">
    <w:name w:val="Char Char Char Char"/>
    <w:basedOn w:val="1"/>
    <w:qFormat/>
    <w:uiPriority w:val="99"/>
  </w:style>
  <w:style w:type="paragraph" w:customStyle="1" w:styleId="187">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88">
    <w:name w:val="xl40"/>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9">
    <w:name w:val="表格下注"/>
    <w:basedOn w:val="1"/>
    <w:qFormat/>
    <w:uiPriority w:val="99"/>
    <w:pPr>
      <w:spacing w:before="163" w:after="120" w:line="400" w:lineRule="exact"/>
    </w:pPr>
    <w:rPr>
      <w:rFonts w:ascii="宋体" w:hAnsi="宋体" w:cs="宋体"/>
      <w:sz w:val="18"/>
      <w:szCs w:val="18"/>
    </w:rPr>
  </w:style>
  <w:style w:type="paragraph" w:customStyle="1" w:styleId="190">
    <w:name w:val="正文1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91">
    <w:name w:val="样式 标题 1 + 黑体 三号 非加粗 居中 段前: 6 磅 段后: 6 磅 行距: 固定值 20 磅"/>
    <w:basedOn w:val="2"/>
    <w:qFormat/>
    <w:uiPriority w:val="99"/>
    <w:pPr>
      <w:spacing w:before="120" w:after="120" w:line="400" w:lineRule="exact"/>
      <w:jc w:val="center"/>
    </w:pPr>
    <w:rPr>
      <w:rFonts w:ascii="黑体" w:hAnsi="黑体" w:eastAsia="黑体" w:cs="黑体"/>
      <w:b w:val="0"/>
      <w:bCs w:val="0"/>
      <w:sz w:val="32"/>
      <w:szCs w:val="32"/>
    </w:rPr>
  </w:style>
  <w:style w:type="paragraph" w:customStyle="1" w:styleId="192">
    <w:name w:val="xl34"/>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93">
    <w:name w:val="目录3"/>
    <w:basedOn w:val="1"/>
    <w:qFormat/>
    <w:uiPriority w:val="99"/>
    <w:pPr>
      <w:adjustRightInd w:val="0"/>
      <w:spacing w:line="420" w:lineRule="atLeast"/>
      <w:ind w:left="454"/>
      <w:textAlignment w:val="baseline"/>
    </w:pPr>
    <w:rPr>
      <w:kern w:val="0"/>
    </w:rPr>
  </w:style>
  <w:style w:type="paragraph" w:customStyle="1" w:styleId="194">
    <w:name w:val="样式3"/>
    <w:basedOn w:val="1"/>
    <w:qFormat/>
    <w:uiPriority w:val="99"/>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195">
    <w:name w:val="xl4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rPr>
  </w:style>
  <w:style w:type="paragraph" w:customStyle="1" w:styleId="196">
    <w:name w:val="表格文字"/>
    <w:basedOn w:val="1"/>
    <w:qFormat/>
    <w:uiPriority w:val="99"/>
    <w:pPr>
      <w:adjustRightInd w:val="0"/>
      <w:spacing w:line="420" w:lineRule="atLeast"/>
      <w:jc w:val="left"/>
      <w:textAlignment w:val="baseline"/>
    </w:pPr>
    <w:rPr>
      <w:kern w:val="0"/>
    </w:rPr>
  </w:style>
  <w:style w:type="paragraph" w:customStyle="1" w:styleId="197">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98">
    <w:name w:val="zhw"/>
    <w:basedOn w:val="1"/>
    <w:qFormat/>
    <w:uiPriority w:val="99"/>
    <w:pPr>
      <w:adjustRightInd w:val="0"/>
      <w:spacing w:line="140" w:lineRule="atLeast"/>
      <w:jc w:val="left"/>
      <w:textAlignment w:val="baseline"/>
    </w:pPr>
    <w:rPr>
      <w:rFonts w:ascii="Arial" w:hAnsi="Arial" w:cs="Arial"/>
      <w:sz w:val="24"/>
      <w:szCs w:val="24"/>
    </w:rPr>
  </w:style>
  <w:style w:type="paragraph" w:customStyle="1" w:styleId="199">
    <w:name w:val="op_exactqa_s_prop"/>
    <w:basedOn w:val="1"/>
    <w:qFormat/>
    <w:uiPriority w:val="99"/>
    <w:pPr>
      <w:widowControl/>
      <w:jc w:val="left"/>
    </w:pPr>
    <w:rPr>
      <w:rFonts w:ascii="宋体" w:hAnsi="宋体" w:cs="宋体"/>
      <w:kern w:val="0"/>
      <w:sz w:val="24"/>
      <w:szCs w:val="24"/>
    </w:rPr>
  </w:style>
  <w:style w:type="paragraph" w:customStyle="1" w:styleId="200">
    <w:name w:val="正文111"/>
    <w:basedOn w:val="1"/>
    <w:qFormat/>
    <w:uiPriority w:val="99"/>
    <w:pPr>
      <w:spacing w:line="360" w:lineRule="auto"/>
      <w:ind w:firstLine="200" w:firstLineChars="200"/>
    </w:pPr>
    <w:rPr>
      <w:rFonts w:ascii="宋体" w:hAnsi="宋体" w:cs="宋体"/>
      <w:sz w:val="28"/>
      <w:szCs w:val="28"/>
    </w:rPr>
  </w:style>
  <w:style w:type="paragraph" w:customStyle="1" w:styleId="201">
    <w:name w:val="正文文本缩进 22"/>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202">
    <w:name w:val="xl42"/>
    <w:basedOn w:val="1"/>
    <w:qFormat/>
    <w:uiPriority w:val="99"/>
    <w:pPr>
      <w:widowControl/>
      <w:pBdr>
        <w:top w:val="single" w:color="auto" w:sz="4" w:space="0"/>
        <w:bottom w:val="single" w:color="auto" w:sz="4" w:space="0"/>
      </w:pBdr>
      <w:spacing w:before="100" w:beforeAutospacing="1" w:after="100" w:afterAutospacing="1"/>
      <w:jc w:val="center"/>
    </w:pPr>
    <w:rPr>
      <w:color w:val="000000"/>
      <w:kern w:val="0"/>
    </w:rPr>
  </w:style>
  <w:style w:type="paragraph" w:styleId="203">
    <w:name w:val="List Paragraph"/>
    <w:basedOn w:val="1"/>
    <w:qFormat/>
    <w:uiPriority w:val="34"/>
    <w:pPr>
      <w:ind w:firstLine="420" w:firstLineChars="200"/>
    </w:pPr>
  </w:style>
  <w:style w:type="paragraph" w:customStyle="1" w:styleId="2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205">
    <w:name w:val="表格方字"/>
    <w:basedOn w:val="1"/>
    <w:qFormat/>
    <w:uiPriority w:val="99"/>
    <w:pPr>
      <w:adjustRightInd w:val="0"/>
      <w:spacing w:line="420" w:lineRule="atLeast"/>
      <w:jc w:val="left"/>
      <w:textAlignment w:val="baseline"/>
    </w:pPr>
    <w:rPr>
      <w:kern w:val="0"/>
    </w:rPr>
  </w:style>
  <w:style w:type="paragraph" w:customStyle="1" w:styleId="206">
    <w:name w:val="Char Char Char Char Char Char Char Char Char Char Char Char Char Char Char Char"/>
    <w:basedOn w:val="1"/>
    <w:qFormat/>
    <w:uiPriority w:val="99"/>
    <w:pPr>
      <w:spacing w:line="520" w:lineRule="exact"/>
    </w:pPr>
    <w:rPr>
      <w:rFonts w:ascii="宋体" w:hAnsi="宋体" w:cs="宋体"/>
      <w:sz w:val="24"/>
      <w:szCs w:val="24"/>
    </w:rPr>
  </w:style>
  <w:style w:type="paragraph" w:customStyle="1" w:styleId="207">
    <w:name w:val="表文C"/>
    <w:basedOn w:val="1"/>
    <w:qFormat/>
    <w:uiPriority w:val="99"/>
    <w:pPr>
      <w:widowControl/>
      <w:tabs>
        <w:tab w:val="left" w:pos="0"/>
      </w:tabs>
      <w:adjustRightInd w:val="0"/>
      <w:snapToGrid w:val="0"/>
      <w:jc w:val="center"/>
    </w:pPr>
    <w:rPr>
      <w:kern w:val="0"/>
    </w:rPr>
  </w:style>
  <w:style w:type="paragraph" w:customStyle="1" w:styleId="208">
    <w:name w:val="表格6"/>
    <w:basedOn w:val="1"/>
    <w:qFormat/>
    <w:uiPriority w:val="99"/>
    <w:pPr>
      <w:adjustRightInd w:val="0"/>
      <w:spacing w:line="420" w:lineRule="atLeast"/>
      <w:ind w:left="737"/>
      <w:textAlignment w:val="baseline"/>
    </w:pPr>
    <w:rPr>
      <w:rFonts w:ascii="宋体" w:cs="宋体"/>
      <w:kern w:val="0"/>
    </w:rPr>
  </w:style>
  <w:style w:type="paragraph" w:customStyle="1" w:styleId="209">
    <w:name w:val="一级标题"/>
    <w:basedOn w:val="1"/>
    <w:qFormat/>
    <w:uiPriority w:val="99"/>
    <w:pPr>
      <w:spacing w:beforeLines="50" w:afterLines="50" w:line="360" w:lineRule="auto"/>
      <w:jc w:val="left"/>
    </w:pPr>
    <w:rPr>
      <w:rFonts w:ascii="黑体" w:hAnsi="Arial" w:eastAsia="黑体" w:cs="黑体"/>
      <w:sz w:val="24"/>
      <w:szCs w:val="24"/>
      <w:lang w:val="en-GB"/>
    </w:rPr>
  </w:style>
  <w:style w:type="paragraph" w:customStyle="1" w:styleId="210">
    <w:name w:val="Char Char Char Char1"/>
    <w:basedOn w:val="1"/>
    <w:qFormat/>
    <w:uiPriority w:val="99"/>
  </w:style>
  <w:style w:type="paragraph" w:customStyle="1" w:styleId="211">
    <w:name w:val="样式 标题 3 + (中文) 黑体 小四 非加粗 段前: 7.8 磅 段后: 0 磅 行距: 固定值 20 磅"/>
    <w:basedOn w:val="4"/>
    <w:next w:val="1"/>
    <w:qFormat/>
    <w:uiPriority w:val="99"/>
    <w:pPr>
      <w:spacing w:before="0" w:after="0" w:line="400" w:lineRule="exact"/>
    </w:pPr>
    <w:rPr>
      <w:rFonts w:eastAsia="黑体"/>
      <w:b w:val="0"/>
      <w:bCs w:val="0"/>
      <w:sz w:val="24"/>
      <w:szCs w:val="24"/>
    </w:rPr>
  </w:style>
  <w:style w:type="paragraph" w:customStyle="1" w:styleId="212">
    <w:name w:val="Char Char Char1"/>
    <w:basedOn w:val="1"/>
    <w:qFormat/>
    <w:uiPriority w:val="99"/>
    <w:pPr>
      <w:spacing w:line="360" w:lineRule="auto"/>
      <w:ind w:firstLine="200" w:firstLineChars="200"/>
    </w:pPr>
    <w:rPr>
      <w:rFonts w:ascii="宋体" w:hAnsi="宋体" w:cs="宋体"/>
      <w:sz w:val="24"/>
      <w:szCs w:val="24"/>
    </w:rPr>
  </w:style>
  <w:style w:type="paragraph" w:customStyle="1" w:styleId="213">
    <w:name w:val="xl43"/>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214">
    <w:name w:val="样式2"/>
    <w:basedOn w:val="49"/>
    <w:qFormat/>
    <w:uiPriority w:val="99"/>
    <w:pPr>
      <w:spacing w:line="315" w:lineRule="atLeast"/>
    </w:pPr>
    <w:rPr>
      <w:rFonts w:ascii="Cambria" w:hAnsi="Cambria" w:cs="Cambria"/>
    </w:rPr>
  </w:style>
  <w:style w:type="paragraph" w:customStyle="1" w:styleId="215">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216">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color w:val="000000"/>
      <w:kern w:val="0"/>
    </w:rPr>
  </w:style>
  <w:style w:type="paragraph" w:customStyle="1" w:styleId="217">
    <w:name w:val="1"/>
    <w:basedOn w:val="1"/>
    <w:next w:val="1"/>
    <w:qFormat/>
    <w:uiPriority w:val="99"/>
  </w:style>
  <w:style w:type="paragraph" w:customStyle="1" w:styleId="218">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19">
    <w:name w:val="p0"/>
    <w:basedOn w:val="1"/>
    <w:qFormat/>
    <w:uiPriority w:val="99"/>
    <w:pPr>
      <w:widowControl/>
    </w:pPr>
    <w:rPr>
      <w:rFonts w:ascii="宋体" w:cs="宋体"/>
      <w:kern w:val="0"/>
      <w:position w:val="-6"/>
    </w:rPr>
  </w:style>
  <w:style w:type="paragraph" w:customStyle="1" w:styleId="220">
    <w:name w:val="样式 加粗 居中"/>
    <w:basedOn w:val="1"/>
    <w:qFormat/>
    <w:uiPriority w:val="99"/>
    <w:pPr>
      <w:jc w:val="center"/>
    </w:pPr>
    <w:rPr>
      <w:b/>
      <w:bCs/>
    </w:rPr>
  </w:style>
  <w:style w:type="paragraph" w:customStyle="1" w:styleId="221">
    <w:name w:val="Char1"/>
    <w:basedOn w:val="1"/>
    <w:qFormat/>
    <w:uiPriority w:val="99"/>
    <w:rPr>
      <w:rFonts w:ascii="宋体" w:cs="宋体"/>
      <w:kern w:val="0"/>
    </w:rPr>
  </w:style>
  <w:style w:type="paragraph" w:customStyle="1" w:styleId="222">
    <w:name w:val="Char Char Char1 Char Char Char Char Char Char Char Char Char Char Char Char Char Char Char Char Char Char Char2"/>
    <w:basedOn w:val="1"/>
    <w:qFormat/>
    <w:uiPriority w:val="99"/>
  </w:style>
  <w:style w:type="paragraph" w:customStyle="1" w:styleId="223">
    <w:name w:val="格式3"/>
    <w:basedOn w:val="1"/>
    <w:qFormat/>
    <w:uiPriority w:val="99"/>
    <w:pPr>
      <w:tabs>
        <w:tab w:val="left" w:pos="1304"/>
      </w:tabs>
      <w:adjustRightInd w:val="0"/>
      <w:snapToGrid w:val="0"/>
      <w:spacing w:beforeLines="15" w:afterLines="15" w:line="440" w:lineRule="exact"/>
      <w:ind w:left="1304" w:hanging="453"/>
    </w:pPr>
    <w:rPr>
      <w:color w:val="0000FF"/>
      <w:sz w:val="24"/>
      <w:szCs w:val="24"/>
    </w:rPr>
  </w:style>
  <w:style w:type="paragraph" w:customStyle="1" w:styleId="224">
    <w:name w:val="二级标题"/>
    <w:basedOn w:val="1"/>
    <w:qFormat/>
    <w:uiPriority w:val="99"/>
    <w:pPr>
      <w:adjustRightInd w:val="0"/>
      <w:snapToGrid w:val="0"/>
      <w:spacing w:line="360" w:lineRule="exact"/>
      <w:jc w:val="left"/>
      <w:outlineLvl w:val="0"/>
    </w:pPr>
    <w:rPr>
      <w:rFonts w:ascii="宋体" w:hAnsi="宋体" w:cs="宋体"/>
      <w:b/>
      <w:bCs/>
      <w:color w:val="FF0000"/>
      <w:lang w:val="en-GB"/>
    </w:rPr>
  </w:style>
  <w:style w:type="paragraph" w:customStyle="1" w:styleId="225">
    <w:name w:val="表格1"/>
    <w:basedOn w:val="1"/>
    <w:qFormat/>
    <w:uiPriority w:val="99"/>
    <w:pPr>
      <w:adjustRightInd w:val="0"/>
      <w:spacing w:line="420" w:lineRule="atLeast"/>
      <w:ind w:left="284"/>
      <w:textAlignment w:val="baseline"/>
    </w:pPr>
    <w:rPr>
      <w:kern w:val="0"/>
    </w:rPr>
  </w:style>
  <w:style w:type="paragraph" w:customStyle="1" w:styleId="226">
    <w:name w:val="正文A"/>
    <w:link w:val="239"/>
    <w:qFormat/>
    <w:uiPriority w:val="99"/>
    <w:pPr>
      <w:tabs>
        <w:tab w:val="left" w:pos="0"/>
      </w:tabs>
      <w:adjustRightInd w:val="0"/>
      <w:spacing w:line="360" w:lineRule="auto"/>
      <w:ind w:firstLine="200" w:firstLineChars="200"/>
      <w:jc w:val="both"/>
    </w:pPr>
    <w:rPr>
      <w:rFonts w:ascii="Times New Roman" w:hAnsi="Times New Roman" w:eastAsia="宋体" w:cs="Times New Roman"/>
      <w:snapToGrid w:val="0"/>
      <w:sz w:val="22"/>
      <w:szCs w:val="22"/>
      <w:lang w:val="en-US" w:eastAsia="zh-CN" w:bidi="ar-SA"/>
    </w:rPr>
  </w:style>
  <w:style w:type="paragraph" w:customStyle="1" w:styleId="227">
    <w:name w:val="Char11"/>
    <w:basedOn w:val="1"/>
    <w:qFormat/>
    <w:uiPriority w:val="99"/>
  </w:style>
  <w:style w:type="paragraph" w:customStyle="1" w:styleId="228">
    <w:name w:val="目录2"/>
    <w:basedOn w:val="1"/>
    <w:qFormat/>
    <w:uiPriority w:val="99"/>
    <w:pPr>
      <w:adjustRightInd w:val="0"/>
      <w:spacing w:line="420" w:lineRule="atLeast"/>
      <w:ind w:left="227"/>
      <w:textAlignment w:val="baseline"/>
    </w:pPr>
    <w:rPr>
      <w:kern w:val="0"/>
    </w:rPr>
  </w:style>
  <w:style w:type="paragraph" w:customStyle="1" w:styleId="229">
    <w:name w:val="章标题"/>
    <w:next w:val="166"/>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230">
    <w:name w:val="三级条标题"/>
    <w:basedOn w:val="164"/>
    <w:next w:val="166"/>
    <w:qFormat/>
    <w:uiPriority w:val="99"/>
    <w:pPr>
      <w:outlineLvl w:val="4"/>
    </w:pPr>
  </w:style>
  <w:style w:type="paragraph" w:customStyle="1" w:styleId="231">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rPr>
  </w:style>
  <w:style w:type="paragraph" w:customStyle="1" w:styleId="232">
    <w:name w:val="Char Char Char1 Char"/>
    <w:basedOn w:val="3"/>
    <w:next w:val="1"/>
    <w:qFormat/>
    <w:uiPriority w:val="99"/>
    <w:pPr>
      <w:snapToGrid w:val="0"/>
      <w:spacing w:before="120" w:after="120" w:line="240" w:lineRule="auto"/>
      <w:jc w:val="left"/>
    </w:pPr>
  </w:style>
  <w:style w:type="paragraph" w:customStyle="1" w:styleId="233">
    <w:name w:val="表格"/>
    <w:basedOn w:val="1"/>
    <w:qFormat/>
    <w:uiPriority w:val="99"/>
    <w:pPr>
      <w:jc w:val="center"/>
      <w:textAlignment w:val="center"/>
    </w:pPr>
    <w:rPr>
      <w:rFonts w:ascii="华文细黑" w:hAnsi="华文细黑" w:cs="华文细黑"/>
      <w:kern w:val="0"/>
    </w:rPr>
  </w:style>
  <w:style w:type="paragraph" w:customStyle="1" w:styleId="234">
    <w:name w:val="font7"/>
    <w:basedOn w:val="1"/>
    <w:qFormat/>
    <w:uiPriority w:val="99"/>
    <w:pPr>
      <w:widowControl/>
      <w:spacing w:before="100" w:beforeAutospacing="1" w:after="100" w:afterAutospacing="1"/>
      <w:jc w:val="left"/>
    </w:pPr>
    <w:rPr>
      <w:color w:val="000000"/>
      <w:kern w:val="0"/>
    </w:rPr>
  </w:style>
  <w:style w:type="paragraph" w:customStyle="1" w:styleId="235">
    <w:name w:val="默认段落字体 Para Char Char Char Char"/>
    <w:basedOn w:val="1"/>
    <w:qFormat/>
    <w:uiPriority w:val="99"/>
  </w:style>
  <w:style w:type="paragraph" w:customStyle="1" w:styleId="236">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237">
    <w:name w:val="2"/>
    <w:basedOn w:val="1"/>
    <w:next w:val="1"/>
    <w:qFormat/>
    <w:uiPriority w:val="99"/>
    <w:rPr>
      <w:rFonts w:ascii="宋体" w:cs="宋体"/>
      <w:b/>
      <w:bCs/>
      <w:sz w:val="24"/>
      <w:szCs w:val="24"/>
    </w:rPr>
  </w:style>
  <w:style w:type="paragraph" w:customStyle="1" w:styleId="238">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rPr>
  </w:style>
  <w:style w:type="character" w:customStyle="1" w:styleId="239">
    <w:name w:val="正文A Char"/>
    <w:link w:val="226"/>
    <w:qFormat/>
    <w:uiPriority w:val="99"/>
    <w:rPr>
      <w:snapToGrid w:val="0"/>
      <w:sz w:val="22"/>
      <w:szCs w:val="22"/>
      <w:lang w:bidi="ar-SA"/>
    </w:rPr>
  </w:style>
  <w:style w:type="paragraph" w:customStyle="1" w:styleId="240">
    <w:name w:val="Char3"/>
    <w:basedOn w:val="1"/>
    <w:qFormat/>
    <w:uiPriority w:val="99"/>
    <w:rPr>
      <w:rFonts w:ascii="Tahoma" w:hAnsi="Tahoma" w:cs="Tahoma"/>
      <w:sz w:val="24"/>
      <w:szCs w:val="24"/>
    </w:rPr>
  </w:style>
  <w:style w:type="paragraph" w:customStyle="1" w:styleId="241">
    <w:name w:val="Char Char Char1 Char Char Char Char Char Char Char Char Char Char Char Char Char Char Char Char Char Char Char1"/>
    <w:basedOn w:val="1"/>
    <w:qFormat/>
    <w:uiPriority w:val="99"/>
  </w:style>
  <w:style w:type="paragraph" w:customStyle="1" w:styleId="242">
    <w:name w:val="Char2"/>
    <w:basedOn w:val="1"/>
    <w:qFormat/>
    <w:uiPriority w:val="99"/>
    <w:rPr>
      <w:rFonts w:ascii="Tahoma" w:hAnsi="Tahoma" w:cs="Tahoma"/>
      <w:sz w:val="24"/>
      <w:szCs w:val="24"/>
    </w:rPr>
  </w:style>
  <w:style w:type="paragraph" w:customStyle="1" w:styleId="243">
    <w:name w:val="样式 样式 样式 样式 样式 样式 正文 + 首行缩进:  2.25 字符 + 首行缩进:  2.25 字符 + 首行缩进:  ...1"/>
    <w:basedOn w:val="1"/>
    <w:qFormat/>
    <w:uiPriority w:val="99"/>
    <w:pPr>
      <w:spacing w:line="360" w:lineRule="auto"/>
      <w:ind w:firstLine="200" w:firstLineChars="200"/>
    </w:pPr>
    <w:rPr>
      <w:rFonts w:eastAsia="幼圆"/>
      <w:spacing w:val="4"/>
      <w:sz w:val="24"/>
      <w:szCs w:val="24"/>
    </w:rPr>
  </w:style>
  <w:style w:type="paragraph" w:customStyle="1" w:styleId="244">
    <w:name w:val="样式 样式 样式 样式 样式 样式 样式 正文 + 首行缩进:  2.25 字符 + 首行缩进:  2.25 字符 + 首行缩进..."/>
    <w:basedOn w:val="243"/>
    <w:qFormat/>
    <w:uiPriority w:val="99"/>
  </w:style>
  <w:style w:type="paragraph" w:customStyle="1" w:styleId="245">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46">
    <w:name w:val="Revision1"/>
    <w:hidden/>
    <w:semiHidden/>
    <w:qFormat/>
    <w:uiPriority w:val="99"/>
    <w:rPr>
      <w:rFonts w:ascii="Times New Roman" w:hAnsi="Times New Roman" w:eastAsia="宋体" w:cs="Times New Roman"/>
      <w:kern w:val="2"/>
      <w:sz w:val="21"/>
      <w:szCs w:val="21"/>
      <w:lang w:val="en-US" w:eastAsia="zh-CN" w:bidi="ar-SA"/>
    </w:rPr>
  </w:style>
  <w:style w:type="paragraph" w:customStyle="1" w:styleId="247">
    <w:name w:val="简单回函地址"/>
    <w:basedOn w:val="1"/>
    <w:qFormat/>
    <w:uiPriority w:val="99"/>
  </w:style>
  <w:style w:type="character" w:customStyle="1" w:styleId="248">
    <w:name w:val="正文文本 3 Char"/>
    <w:qFormat/>
    <w:uiPriority w:val="99"/>
    <w:rPr>
      <w:rFonts w:ascii="宋体" w:eastAsia="宋体" w:cs="宋体"/>
      <w:kern w:val="2"/>
      <w:sz w:val="24"/>
      <w:szCs w:val="24"/>
      <w:lang w:val="en-US" w:eastAsia="zh-CN"/>
    </w:rPr>
  </w:style>
  <w:style w:type="character" w:customStyle="1" w:styleId="249">
    <w:name w:val="标题 6 Char"/>
    <w:qFormat/>
    <w:uiPriority w:val="99"/>
    <w:rPr>
      <w:rFonts w:ascii="Arial" w:hAnsi="Arial" w:eastAsia="黑体" w:cs="Arial"/>
      <w:b/>
      <w:bCs/>
      <w:sz w:val="24"/>
      <w:szCs w:val="24"/>
      <w:lang w:val="en-US" w:eastAsia="zh-CN"/>
    </w:rPr>
  </w:style>
  <w:style w:type="character" w:customStyle="1" w:styleId="250">
    <w:name w:val="标题 3 Char"/>
    <w:qFormat/>
    <w:uiPriority w:val="99"/>
    <w:rPr>
      <w:rFonts w:eastAsia="宋体"/>
      <w:b/>
      <w:bCs/>
      <w:kern w:val="2"/>
      <w:sz w:val="32"/>
      <w:szCs w:val="32"/>
      <w:lang w:val="en-US" w:eastAsia="zh-CN"/>
    </w:rPr>
  </w:style>
  <w:style w:type="character" w:customStyle="1" w:styleId="251">
    <w:name w:val="标题 4 Char"/>
    <w:qFormat/>
    <w:uiPriority w:val="99"/>
    <w:rPr>
      <w:rFonts w:ascii="Arial" w:hAnsi="Arial" w:eastAsia="黑体" w:cs="Arial"/>
      <w:b/>
      <w:bCs/>
      <w:kern w:val="2"/>
      <w:sz w:val="28"/>
      <w:szCs w:val="28"/>
      <w:lang w:val="en-US" w:eastAsia="zh-CN"/>
    </w:rPr>
  </w:style>
  <w:style w:type="character" w:customStyle="1" w:styleId="252">
    <w:name w:val="正文缩进 Char"/>
    <w:qFormat/>
    <w:uiPriority w:val="99"/>
    <w:rPr>
      <w:rFonts w:eastAsia="宋体"/>
      <w:kern w:val="2"/>
      <w:sz w:val="24"/>
      <w:szCs w:val="24"/>
      <w:lang w:val="en-US" w:eastAsia="zh-CN"/>
    </w:rPr>
  </w:style>
  <w:style w:type="paragraph" w:customStyle="1" w:styleId="253">
    <w:name w:val="文头"/>
    <w:basedOn w:val="1"/>
    <w:qFormat/>
    <w:uiPriority w:val="99"/>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254">
    <w:name w:val="标题1"/>
    <w:basedOn w:val="1"/>
    <w:next w:val="1"/>
    <w:qFormat/>
    <w:uiPriority w:val="99"/>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255">
    <w:name w:val="样式 主题词 + 段后: 8.85 磅 行距: 固定值 26 磅"/>
    <w:basedOn w:val="1"/>
    <w:qFormat/>
    <w:uiPriority w:val="99"/>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256">
    <w:name w:val="附件栏"/>
    <w:basedOn w:val="1"/>
    <w:qFormat/>
    <w:uiPriority w:val="99"/>
    <w:pPr>
      <w:autoSpaceDE w:val="0"/>
      <w:autoSpaceDN w:val="0"/>
      <w:snapToGrid w:val="0"/>
      <w:spacing w:line="590" w:lineRule="atLeast"/>
      <w:ind w:firstLine="624"/>
    </w:pPr>
    <w:rPr>
      <w:rFonts w:eastAsia="仿宋"/>
      <w:kern w:val="0"/>
      <w:sz w:val="32"/>
      <w:szCs w:val="32"/>
    </w:rPr>
  </w:style>
  <w:style w:type="paragraph" w:customStyle="1" w:styleId="257">
    <w:name w:val="红线"/>
    <w:basedOn w:val="2"/>
    <w:qFormat/>
    <w:uiPriority w:val="99"/>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258">
    <w:name w:val="font21"/>
    <w:qFormat/>
    <w:uiPriority w:val="99"/>
    <w:rPr>
      <w:rFonts w:ascii="宋体" w:hAnsi="宋体" w:eastAsia="宋体" w:cs="宋体"/>
      <w:color w:val="000000"/>
      <w:sz w:val="22"/>
      <w:szCs w:val="22"/>
      <w:u w:val="none"/>
    </w:rPr>
  </w:style>
  <w:style w:type="character" w:customStyle="1" w:styleId="259">
    <w:name w:val="font01"/>
    <w:qFormat/>
    <w:uiPriority w:val="99"/>
    <w:rPr>
      <w:rFonts w:ascii="宋体" w:hAnsi="宋体" w:eastAsia="宋体" w:cs="宋体"/>
      <w:b/>
      <w:bCs/>
      <w:color w:val="000000"/>
      <w:sz w:val="22"/>
      <w:szCs w:val="22"/>
      <w:u w:val="none"/>
    </w:rPr>
  </w:style>
  <w:style w:type="paragraph" w:customStyle="1" w:styleId="260">
    <w:name w:val="标题 51"/>
    <w:basedOn w:val="1"/>
    <w:qFormat/>
    <w:uiPriority w:val="1"/>
    <w:pPr>
      <w:autoSpaceDE w:val="0"/>
      <w:autoSpaceDN w:val="0"/>
      <w:ind w:left="488"/>
      <w:jc w:val="left"/>
      <w:outlineLvl w:val="5"/>
    </w:pPr>
    <w:rPr>
      <w:rFonts w:ascii="Noto Sans CJK JP Regular" w:hAnsi="Noto Sans CJK JP Regular" w:eastAsia="Noto Sans CJK JP Regular" w:cs="Noto Sans CJK JP Regular"/>
      <w:kern w:val="0"/>
      <w:sz w:val="24"/>
      <w:szCs w:val="24"/>
      <w:lang w:eastAsia="en-US"/>
    </w:rPr>
  </w:style>
  <w:style w:type="paragraph" w:customStyle="1" w:styleId="261">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paragraph" w:customStyle="1" w:styleId="262">
    <w:name w:val="标题 5 + (西文) Arial Narrow"/>
    <w:basedOn w:val="5"/>
    <w:qFormat/>
    <w:uiPriority w:val="0"/>
    <w:pPr>
      <w:adjustRightInd w:val="0"/>
      <w:snapToGrid w:val="0"/>
      <w:spacing w:beforeLines="100" w:afterLines="100" w:line="360" w:lineRule="auto"/>
      <w:jc w:val="center"/>
    </w:pPr>
    <w:rPr>
      <w:rFonts w:ascii="Arial Narrow" w:hAnsi="Arial Narrow" w:eastAsia="宋体"/>
      <w:kern w:val="0"/>
    </w:rPr>
  </w:style>
  <w:style w:type="paragraph" w:customStyle="1" w:styleId="263">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264">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65">
    <w:name w:val="副标题1"/>
    <w:basedOn w:val="1"/>
    <w:next w:val="1"/>
    <w:qFormat/>
    <w:uiPriority w:val="11"/>
    <w:pPr>
      <w:widowControl/>
      <w:spacing w:after="600" w:line="276" w:lineRule="auto"/>
      <w:jc w:val="left"/>
    </w:pPr>
    <w:rPr>
      <w:rFonts w:ascii="Tw Cen MT" w:hAnsi="Tw Cen MT" w:eastAsia="华文仿宋"/>
      <w:i/>
      <w:iCs/>
      <w:spacing w:val="13"/>
      <w:kern w:val="0"/>
      <w:sz w:val="24"/>
      <w:szCs w:val="24"/>
      <w:lang w:eastAsia="en-US" w:bidi="en-US"/>
    </w:rPr>
  </w:style>
  <w:style w:type="table" w:customStyle="1" w:styleId="266">
    <w:name w:val="网格型1"/>
    <w:basedOn w:val="52"/>
    <w:qFormat/>
    <w:uiPriority w:val="59"/>
    <w:rPr>
      <w:rFonts w:ascii="Tw Cen MT" w:hAnsi="Tw Cen MT" w:eastAsia="华文仿宋"/>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Normal"/>
    <w:semiHidden/>
    <w:unhideWhenUsed/>
    <w:qFormat/>
    <w:uiPriority w:val="2"/>
    <w:rPr>
      <w:rFonts w:ascii="Tw Cen MT" w:hAnsi="Tw Cen MT" w:eastAsia="华文仿宋"/>
    </w:rPr>
    <w:tblPr>
      <w:tblCellMar>
        <w:top w:w="0" w:type="dxa"/>
        <w:left w:w="0" w:type="dxa"/>
        <w:bottom w:w="0" w:type="dxa"/>
        <w:right w:w="0" w:type="dxa"/>
      </w:tblCellMar>
    </w:tblPr>
  </w:style>
  <w:style w:type="paragraph" w:customStyle="1" w:styleId="268">
    <w:name w:val="标题 11"/>
    <w:basedOn w:val="1"/>
    <w:qFormat/>
    <w:uiPriority w:val="1"/>
    <w:pPr>
      <w:widowControl/>
      <w:spacing w:after="200" w:line="276" w:lineRule="auto"/>
      <w:jc w:val="left"/>
      <w:outlineLvl w:val="1"/>
    </w:pPr>
    <w:rPr>
      <w:rFonts w:ascii="Arial Unicode MS" w:hAnsi="Arial Unicode MS" w:eastAsia="Arial Unicode MS" w:cs="Arial Unicode MS"/>
      <w:kern w:val="0"/>
      <w:sz w:val="44"/>
      <w:szCs w:val="44"/>
      <w:lang w:val="zh-CN" w:bidi="zh-CN"/>
    </w:rPr>
  </w:style>
  <w:style w:type="paragraph" w:customStyle="1" w:styleId="269">
    <w:name w:val="标题 21"/>
    <w:basedOn w:val="1"/>
    <w:qFormat/>
    <w:uiPriority w:val="1"/>
    <w:pPr>
      <w:widowControl/>
      <w:spacing w:before="60" w:after="200" w:line="276" w:lineRule="auto"/>
      <w:ind w:left="834" w:right="853"/>
      <w:jc w:val="center"/>
      <w:outlineLvl w:val="2"/>
    </w:pPr>
    <w:rPr>
      <w:rFonts w:ascii="Arial Unicode MS" w:hAnsi="Arial Unicode MS" w:eastAsia="Arial Unicode MS" w:cs="Arial Unicode MS"/>
      <w:kern w:val="0"/>
      <w:sz w:val="36"/>
      <w:szCs w:val="36"/>
      <w:lang w:val="zh-CN" w:bidi="zh-CN"/>
    </w:rPr>
  </w:style>
  <w:style w:type="paragraph" w:customStyle="1" w:styleId="270">
    <w:name w:val="标题 31"/>
    <w:basedOn w:val="1"/>
    <w:qFormat/>
    <w:uiPriority w:val="1"/>
    <w:pPr>
      <w:widowControl/>
      <w:spacing w:before="43" w:after="200" w:line="276" w:lineRule="auto"/>
      <w:ind w:left="1773" w:hanging="483"/>
      <w:jc w:val="left"/>
      <w:outlineLvl w:val="3"/>
    </w:pPr>
    <w:rPr>
      <w:rFonts w:ascii="等线" w:hAnsi="等线" w:eastAsia="等线" w:cs="等线"/>
      <w:b/>
      <w:bCs/>
      <w:kern w:val="0"/>
      <w:sz w:val="32"/>
      <w:szCs w:val="32"/>
      <w:lang w:val="zh-CN" w:bidi="zh-CN"/>
    </w:rPr>
  </w:style>
  <w:style w:type="character" w:customStyle="1" w:styleId="271">
    <w:name w:val="副标题 字符"/>
    <w:basedOn w:val="54"/>
    <w:link w:val="38"/>
    <w:qFormat/>
    <w:uiPriority w:val="11"/>
    <w:rPr>
      <w:rFonts w:ascii="Tw Cen MT" w:hAnsi="Tw Cen MT" w:eastAsia="华文仿宋" w:cs="Times New Roman"/>
      <w:i/>
      <w:iCs/>
      <w:spacing w:val="13"/>
      <w:sz w:val="24"/>
      <w:szCs w:val="24"/>
    </w:rPr>
  </w:style>
  <w:style w:type="paragraph" w:styleId="272">
    <w:name w:val="No Spacing"/>
    <w:basedOn w:val="1"/>
    <w:link w:val="273"/>
    <w:qFormat/>
    <w:uiPriority w:val="1"/>
    <w:pPr>
      <w:widowControl/>
      <w:jc w:val="left"/>
    </w:pPr>
    <w:rPr>
      <w:rFonts w:ascii="Tw Cen MT" w:hAnsi="Tw Cen MT" w:eastAsia="华文仿宋"/>
      <w:kern w:val="0"/>
      <w:sz w:val="22"/>
      <w:szCs w:val="22"/>
      <w:lang w:eastAsia="en-US" w:bidi="en-US"/>
    </w:rPr>
  </w:style>
  <w:style w:type="character" w:customStyle="1" w:styleId="273">
    <w:name w:val="无间隔 字符"/>
    <w:basedOn w:val="54"/>
    <w:link w:val="272"/>
    <w:qFormat/>
    <w:uiPriority w:val="1"/>
    <w:rPr>
      <w:rFonts w:ascii="Tw Cen MT" w:hAnsi="Tw Cen MT" w:eastAsia="华文仿宋"/>
      <w:sz w:val="22"/>
      <w:szCs w:val="22"/>
      <w:lang w:eastAsia="en-US" w:bidi="en-US"/>
    </w:rPr>
  </w:style>
  <w:style w:type="paragraph" w:styleId="274">
    <w:name w:val="Quote"/>
    <w:basedOn w:val="1"/>
    <w:next w:val="1"/>
    <w:link w:val="275"/>
    <w:qFormat/>
    <w:uiPriority w:val="29"/>
    <w:pPr>
      <w:widowControl/>
      <w:spacing w:before="200" w:line="276" w:lineRule="auto"/>
      <w:ind w:left="360" w:right="360"/>
      <w:jc w:val="left"/>
    </w:pPr>
    <w:rPr>
      <w:rFonts w:ascii="Tw Cen MT" w:hAnsi="Tw Cen MT" w:eastAsia="华文仿宋"/>
      <w:i/>
      <w:iCs/>
      <w:kern w:val="0"/>
      <w:sz w:val="22"/>
      <w:szCs w:val="22"/>
      <w:lang w:eastAsia="en-US" w:bidi="en-US"/>
    </w:rPr>
  </w:style>
  <w:style w:type="character" w:customStyle="1" w:styleId="275">
    <w:name w:val="引用 字符"/>
    <w:basedOn w:val="54"/>
    <w:link w:val="274"/>
    <w:qFormat/>
    <w:uiPriority w:val="29"/>
    <w:rPr>
      <w:rFonts w:ascii="Tw Cen MT" w:hAnsi="Tw Cen MT" w:eastAsia="华文仿宋"/>
      <w:i/>
      <w:iCs/>
      <w:sz w:val="22"/>
      <w:szCs w:val="22"/>
      <w:lang w:eastAsia="en-US" w:bidi="en-US"/>
    </w:rPr>
  </w:style>
  <w:style w:type="paragraph" w:styleId="276">
    <w:name w:val="Intense Quote"/>
    <w:basedOn w:val="1"/>
    <w:next w:val="1"/>
    <w:link w:val="277"/>
    <w:qFormat/>
    <w:uiPriority w:val="30"/>
    <w:pPr>
      <w:widowControl/>
      <w:pBdr>
        <w:bottom w:val="single" w:color="auto" w:sz="4" w:space="1"/>
      </w:pBdr>
      <w:spacing w:before="200" w:after="280" w:line="276" w:lineRule="auto"/>
      <w:ind w:left="1008" w:right="1152"/>
    </w:pPr>
    <w:rPr>
      <w:rFonts w:ascii="Tw Cen MT" w:hAnsi="Tw Cen MT" w:eastAsia="华文仿宋"/>
      <w:b/>
      <w:bCs/>
      <w:i/>
      <w:iCs/>
      <w:kern w:val="0"/>
      <w:sz w:val="22"/>
      <w:szCs w:val="22"/>
      <w:lang w:eastAsia="en-US" w:bidi="en-US"/>
    </w:rPr>
  </w:style>
  <w:style w:type="character" w:customStyle="1" w:styleId="277">
    <w:name w:val="明显引用 字符"/>
    <w:basedOn w:val="54"/>
    <w:link w:val="276"/>
    <w:qFormat/>
    <w:uiPriority w:val="30"/>
    <w:rPr>
      <w:rFonts w:ascii="Tw Cen MT" w:hAnsi="Tw Cen MT" w:eastAsia="华文仿宋"/>
      <w:b/>
      <w:bCs/>
      <w:i/>
      <w:iCs/>
      <w:sz w:val="22"/>
      <w:szCs w:val="22"/>
      <w:lang w:eastAsia="en-US" w:bidi="en-US"/>
    </w:rPr>
  </w:style>
  <w:style w:type="character" w:customStyle="1" w:styleId="278">
    <w:name w:val="不明显强调1"/>
    <w:qFormat/>
    <w:uiPriority w:val="19"/>
    <w:rPr>
      <w:i/>
      <w:iCs/>
    </w:rPr>
  </w:style>
  <w:style w:type="character" w:customStyle="1" w:styleId="279">
    <w:name w:val="明显强调1"/>
    <w:qFormat/>
    <w:uiPriority w:val="21"/>
    <w:rPr>
      <w:b/>
      <w:bCs/>
    </w:rPr>
  </w:style>
  <w:style w:type="character" w:customStyle="1" w:styleId="280">
    <w:name w:val="不明显参考1"/>
    <w:qFormat/>
    <w:uiPriority w:val="31"/>
    <w:rPr>
      <w:smallCaps/>
    </w:rPr>
  </w:style>
  <w:style w:type="character" w:customStyle="1" w:styleId="281">
    <w:name w:val="明显参考1"/>
    <w:qFormat/>
    <w:uiPriority w:val="32"/>
    <w:rPr>
      <w:smallCaps/>
      <w:spacing w:val="5"/>
      <w:u w:val="single"/>
    </w:rPr>
  </w:style>
  <w:style w:type="character" w:customStyle="1" w:styleId="282">
    <w:name w:val="书籍标题1"/>
    <w:qFormat/>
    <w:uiPriority w:val="33"/>
    <w:rPr>
      <w:i/>
      <w:iCs/>
      <w:smallCaps/>
      <w:spacing w:val="5"/>
    </w:rPr>
  </w:style>
  <w:style w:type="paragraph" w:customStyle="1" w:styleId="283">
    <w:name w:val="TOC 标题1"/>
    <w:basedOn w:val="2"/>
    <w:next w:val="1"/>
    <w:semiHidden/>
    <w:unhideWhenUsed/>
    <w:qFormat/>
    <w:uiPriority w:val="39"/>
    <w:pPr>
      <w:keepNext w:val="0"/>
      <w:keepLines w:val="0"/>
      <w:widowControl/>
      <w:spacing w:before="480" w:after="0" w:line="276" w:lineRule="auto"/>
      <w:contextualSpacing/>
      <w:jc w:val="left"/>
      <w:outlineLvl w:val="9"/>
    </w:pPr>
    <w:rPr>
      <w:rFonts w:ascii="Tw Cen MT" w:hAnsi="Tw Cen MT" w:eastAsia="华文仿宋"/>
      <w:kern w:val="0"/>
      <w:sz w:val="28"/>
      <w:szCs w:val="28"/>
      <w:lang w:eastAsia="en-US" w:bidi="en-US"/>
    </w:rPr>
  </w:style>
  <w:style w:type="paragraph" w:customStyle="1" w:styleId="284">
    <w:name w:val="标题 22"/>
    <w:basedOn w:val="1"/>
    <w:qFormat/>
    <w:uiPriority w:val="1"/>
    <w:pPr>
      <w:autoSpaceDE w:val="0"/>
      <w:autoSpaceDN w:val="0"/>
      <w:jc w:val="center"/>
      <w:outlineLvl w:val="2"/>
    </w:pPr>
    <w:rPr>
      <w:rFonts w:ascii="宋体" w:hAnsi="宋体" w:cs="宋体"/>
      <w:b/>
      <w:bCs/>
      <w:kern w:val="0"/>
      <w:sz w:val="24"/>
      <w:szCs w:val="24"/>
      <w:lang w:val="zh-CN" w:bidi="zh-CN"/>
    </w:rPr>
  </w:style>
  <w:style w:type="character" w:customStyle="1" w:styleId="285">
    <w:name w:val="副标题 字符1"/>
    <w:basedOn w:val="54"/>
    <w:qFormat/>
    <w:uiPriority w:val="11"/>
    <w:rPr>
      <w:rFonts w:asciiTheme="minorHAnsi" w:hAnsiTheme="minorHAnsi" w:eastAsiaTheme="minorEastAsia" w:cstheme="minorBidi"/>
      <w:b/>
      <w:bCs/>
      <w:kern w:val="28"/>
      <w:sz w:val="32"/>
      <w:szCs w:val="32"/>
    </w:rPr>
  </w:style>
  <w:style w:type="character" w:customStyle="1" w:styleId="286">
    <w:name w:val="尾注文本 字符"/>
    <w:basedOn w:val="54"/>
    <w:link w:val="32"/>
    <w:semiHidden/>
    <w:qFormat/>
    <w:uiPriority w:val="99"/>
    <w:rPr>
      <w:kern w:val="2"/>
      <w:sz w:val="21"/>
      <w:szCs w:val="21"/>
    </w:rPr>
  </w:style>
  <w:style w:type="character" w:customStyle="1" w:styleId="287">
    <w:name w:val="c-icon28"/>
    <w:basedOn w:val="54"/>
    <w:qFormat/>
    <w:uiPriority w:val="0"/>
  </w:style>
  <w:style w:type="character" w:customStyle="1" w:styleId="288">
    <w:name w:val="hover24"/>
    <w:basedOn w:val="54"/>
    <w:qFormat/>
    <w:uiPriority w:val="0"/>
  </w:style>
  <w:style w:type="character" w:customStyle="1" w:styleId="289">
    <w:name w:val="hover25"/>
    <w:basedOn w:val="54"/>
    <w:qFormat/>
    <w:uiPriority w:val="0"/>
    <w:rPr>
      <w:color w:val="315EFB"/>
    </w:rPr>
  </w:style>
  <w:style w:type="character" w:customStyle="1" w:styleId="290">
    <w:name w:val="hover26"/>
    <w:basedOn w:val="54"/>
    <w:qFormat/>
    <w:uiPriority w:val="0"/>
    <w:rPr>
      <w:color w:val="315EFB"/>
    </w:rPr>
  </w:style>
  <w:style w:type="character" w:customStyle="1" w:styleId="291">
    <w:name w:val="black"/>
    <w:basedOn w:val="54"/>
    <w:qFormat/>
    <w:uiPriority w:val="0"/>
    <w:rPr>
      <w:color w:val="666666"/>
    </w:rPr>
  </w:style>
  <w:style w:type="character" w:customStyle="1" w:styleId="292">
    <w:name w:val="ruweitli_l"/>
    <w:basedOn w:val="54"/>
    <w:qFormat/>
    <w:uiPriority w:val="0"/>
  </w:style>
  <w:style w:type="character" w:customStyle="1" w:styleId="293">
    <w:name w:val="fieldsets"/>
    <w:basedOn w:val="54"/>
    <w:qFormat/>
    <w:uiPriority w:val="0"/>
  </w:style>
  <w:style w:type="character" w:customStyle="1" w:styleId="294">
    <w:name w:val="fieldsetf"/>
    <w:basedOn w:val="54"/>
    <w:qFormat/>
    <w:uiPriority w:val="0"/>
  </w:style>
  <w:style w:type="character" w:customStyle="1" w:styleId="295">
    <w:name w:val="edui-unclickable"/>
    <w:basedOn w:val="54"/>
    <w:qFormat/>
    <w:uiPriority w:val="0"/>
    <w:rPr>
      <w:color w:val="808080"/>
    </w:rPr>
  </w:style>
  <w:style w:type="character" w:customStyle="1" w:styleId="296">
    <w:name w:val="l-open"/>
    <w:basedOn w:val="54"/>
    <w:qFormat/>
    <w:uiPriority w:val="0"/>
  </w:style>
  <w:style w:type="character" w:customStyle="1" w:styleId="297">
    <w:name w:val="l-over"/>
    <w:basedOn w:val="54"/>
    <w:qFormat/>
    <w:uiPriority w:val="0"/>
    <w:rPr>
      <w:bdr w:val="single" w:color="DAB364" w:sz="4" w:space="0"/>
    </w:rPr>
  </w:style>
  <w:style w:type="character" w:customStyle="1" w:styleId="298">
    <w:name w:val="l-selected"/>
    <w:basedOn w:val="54"/>
    <w:qFormat/>
    <w:uiPriority w:val="0"/>
    <w:rPr>
      <w:color w:val="355686"/>
      <w:bdr w:val="single" w:color="DAB364" w:sz="4" w:space="0"/>
      <w:shd w:val="clear" w:color="auto" w:fill="FFFFFF"/>
    </w:rPr>
  </w:style>
  <w:style w:type="character" w:customStyle="1" w:styleId="299">
    <w:name w:val="searchs"/>
    <w:basedOn w:val="54"/>
    <w:qFormat/>
    <w:uiPriority w:val="0"/>
  </w:style>
  <w:style w:type="character" w:customStyle="1" w:styleId="300">
    <w:name w:val="searchf"/>
    <w:basedOn w:val="54"/>
    <w:qFormat/>
    <w:uiPriority w:val="0"/>
  </w:style>
  <w:style w:type="character" w:customStyle="1" w:styleId="301">
    <w:name w:val="dbrwr_aclil"/>
    <w:basedOn w:val="54"/>
    <w:qFormat/>
    <w:uiPriority w:val="0"/>
  </w:style>
  <w:style w:type="character" w:customStyle="1" w:styleId="302">
    <w:name w:val="dbrwr_aclir"/>
    <w:basedOn w:val="54"/>
    <w:qFormat/>
    <w:uiPriority w:val="0"/>
    <w:rPr>
      <w:color w:val="999999"/>
    </w:rPr>
  </w:style>
  <w:style w:type="character" w:customStyle="1" w:styleId="303">
    <w:name w:val="ruweitli_r"/>
    <w:basedOn w:val="54"/>
    <w:qFormat/>
    <w:uiPriority w:val="0"/>
  </w:style>
  <w:style w:type="character" w:customStyle="1" w:styleId="304">
    <w:name w:val="edui-clickable2"/>
    <w:basedOn w:val="54"/>
    <w:qFormat/>
    <w:uiPriority w:val="0"/>
    <w:rPr>
      <w:color w:val="0000FF"/>
      <w:u w:val="single"/>
    </w:rPr>
  </w:style>
  <w:style w:type="paragraph" w:customStyle="1" w:styleId="305">
    <w:name w:val="_Style 304"/>
    <w:basedOn w:val="1"/>
    <w:next w:val="1"/>
    <w:qFormat/>
    <w:uiPriority w:val="0"/>
    <w:pPr>
      <w:pBdr>
        <w:bottom w:val="single" w:color="auto" w:sz="6" w:space="1"/>
      </w:pBdr>
      <w:jc w:val="center"/>
    </w:pPr>
    <w:rPr>
      <w:rFonts w:ascii="Arial"/>
      <w:vanish/>
      <w:sz w:val="16"/>
    </w:rPr>
  </w:style>
  <w:style w:type="paragraph" w:customStyle="1" w:styleId="306">
    <w:name w:val="_Style 305"/>
    <w:basedOn w:val="1"/>
    <w:next w:val="1"/>
    <w:qFormat/>
    <w:uiPriority w:val="0"/>
    <w:pPr>
      <w:pBdr>
        <w:top w:val="single" w:color="auto" w:sz="6" w:space="1"/>
      </w:pBdr>
      <w:jc w:val="center"/>
    </w:pPr>
    <w:rPr>
      <w:rFonts w:ascii="Arial"/>
      <w:vanish/>
      <w:sz w:val="16"/>
    </w:rPr>
  </w:style>
  <w:style w:type="character" w:customStyle="1" w:styleId="307">
    <w:name w:val="l-selected2"/>
    <w:basedOn w:val="54"/>
    <w:qFormat/>
    <w:uiPriority w:val="0"/>
    <w:rPr>
      <w:color w:val="355686"/>
      <w:bdr w:val="single" w:color="DAB364" w:sz="4" w:space="0"/>
      <w:shd w:val="clear" w:color="auto" w:fill="FFFFFF"/>
    </w:rPr>
  </w:style>
  <w:style w:type="paragraph" w:customStyle="1" w:styleId="308">
    <w:name w:val="Other|1"/>
    <w:basedOn w:val="1"/>
    <w:qFormat/>
    <w:uiPriority w:val="0"/>
    <w:rPr>
      <w:rFonts w:ascii="宋体" w:hAnsi="宋体" w:cs="宋体"/>
      <w:lang w:val="zh-TW" w:eastAsia="zh-TW" w:bidi="zh-TW"/>
    </w:rPr>
  </w:style>
  <w:style w:type="paragraph" w:customStyle="1" w:styleId="309">
    <w:name w:val="_Style 308"/>
    <w:basedOn w:val="1"/>
    <w:next w:val="1"/>
    <w:qFormat/>
    <w:uiPriority w:val="0"/>
    <w:pPr>
      <w:pBdr>
        <w:bottom w:val="single" w:color="auto" w:sz="6" w:space="1"/>
      </w:pBdr>
      <w:jc w:val="center"/>
    </w:pPr>
    <w:rPr>
      <w:rFonts w:ascii="Arial"/>
      <w:vanish/>
      <w:sz w:val="16"/>
    </w:rPr>
  </w:style>
  <w:style w:type="paragraph" w:customStyle="1" w:styleId="310">
    <w:name w:val="_Style 309"/>
    <w:basedOn w:val="1"/>
    <w:next w:val="1"/>
    <w:qFormat/>
    <w:uiPriority w:val="0"/>
    <w:pPr>
      <w:pBdr>
        <w:top w:val="single" w:color="auto" w:sz="6" w:space="1"/>
      </w:pBdr>
      <w:jc w:val="center"/>
    </w:pPr>
    <w:rPr>
      <w:rFonts w:ascii="Arial"/>
      <w:vanish/>
      <w:sz w:val="16"/>
    </w:rPr>
  </w:style>
  <w:style w:type="paragraph" w:customStyle="1" w:styleId="311">
    <w:name w:val="修订2"/>
    <w:hidden/>
    <w:unhideWhenUsed/>
    <w:qFormat/>
    <w:uiPriority w:val="99"/>
    <w:rPr>
      <w:rFonts w:ascii="Times New Roman" w:hAnsi="Times New Roman" w:eastAsia="宋体" w:cs="Times New Roman"/>
      <w:kern w:val="2"/>
      <w:sz w:val="21"/>
      <w:szCs w:val="21"/>
      <w:lang w:val="en-US" w:eastAsia="zh-CN" w:bidi="ar-SA"/>
    </w:rPr>
  </w:style>
  <w:style w:type="character" w:customStyle="1" w:styleId="312">
    <w:name w:val="未处理的提及1"/>
    <w:basedOn w:val="54"/>
    <w:semiHidden/>
    <w:unhideWhenUsed/>
    <w:qFormat/>
    <w:uiPriority w:val="99"/>
    <w:rPr>
      <w:color w:val="605E5C"/>
      <w:shd w:val="clear" w:color="auto" w:fill="E1DFDD"/>
    </w:rPr>
  </w:style>
  <w:style w:type="paragraph" w:customStyle="1" w:styleId="313">
    <w:name w:val="Revision"/>
    <w:hidden/>
    <w:unhideWhenUsed/>
    <w:qFormat/>
    <w:uiPriority w:val="99"/>
    <w:rPr>
      <w:rFonts w:ascii="Times New Roman" w:hAnsi="Times New Roman" w:eastAsia="宋体" w:cs="Times New Roman"/>
      <w:kern w:val="2"/>
      <w:sz w:val="21"/>
      <w:szCs w:val="21"/>
      <w:lang w:val="en-US" w:eastAsia="zh-CN" w:bidi="ar-SA"/>
    </w:rPr>
  </w:style>
  <w:style w:type="character" w:customStyle="1" w:styleId="314">
    <w:name w:val="纯文本 Char"/>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836BA8-3960-4B9A-B776-3645FE9E7DE2}">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107</Pages>
  <Words>22802</Words>
  <Characters>24201</Characters>
  <Lines>572</Lines>
  <Paragraphs>161</Paragraphs>
  <TotalTime>13</TotalTime>
  <ScaleCrop>false</ScaleCrop>
  <LinksUpToDate>false</LinksUpToDate>
  <CharactersWithSpaces>24489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2024-07-23T13:13:00Z</dcterms:created>
  <dc:creator>1</dc:creator>
  <cp:lastModifiedBy>WPS_1542117345</cp:lastModifiedBy>
  <cp:lastPrinted>2024-07-17T04:44:00Z</cp:lastPrinted>
  <dcterms:modified xsi:type="dcterms:W3CDTF">2024-11-08T10:23:46Z</dcterms:modified>
  <dc:title>中华人民共和国</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7A74544A68214741B29ED992F780ABB0_13</vt:lpwstr>
  </property>
</Properties>
</file>